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8456F">
            <w:pPr>
              <w:rPr>
                <w:rFonts w:ascii="Arial" w:hAnsi="Arial"/>
              </w:rPr>
            </w:pPr>
            <w:r w:rsidRPr="00B8456F">
              <w:rPr>
                <w:rFonts w:ascii="Arial" w:hAnsi="Arial"/>
              </w:rPr>
              <w:t>Introduction to Aboriginal Peoples of Canada</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8456F">
            <w:pPr>
              <w:rPr>
                <w:rFonts w:ascii="Arial" w:hAnsi="Arial"/>
              </w:rPr>
            </w:pPr>
            <w:r>
              <w:rPr>
                <w:rFonts w:ascii="Arial" w:hAnsi="Arial"/>
              </w:rPr>
              <w:t>SSC102</w:t>
            </w:r>
          </w:p>
          <w:p w:rsidR="00B8456F" w:rsidRPr="00F1598C" w:rsidRDefault="00B8456F">
            <w:pPr>
              <w:rPr>
                <w:rFonts w:ascii="Arial" w:hAnsi="Arial"/>
              </w:rPr>
            </w:pPr>
            <w:r>
              <w:rPr>
                <w:rFonts w:ascii="Arial" w:hAnsi="Arial"/>
              </w:rPr>
              <w:t>SSC</w:t>
            </w:r>
            <w:r>
              <w:rPr>
                <w:rFonts w:ascii="Arial" w:hAnsi="Arial"/>
              </w:rPr>
              <w:t>0</w:t>
            </w:r>
            <w:r>
              <w:rPr>
                <w:rFonts w:ascii="Arial" w:hAnsi="Arial"/>
              </w:rPr>
              <w:t>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8456F">
            <w:pPr>
              <w:rPr>
                <w:rFonts w:ascii="Arial" w:hAnsi="Arial"/>
              </w:rPr>
            </w:pPr>
            <w:r w:rsidRPr="00B8456F">
              <w:rPr>
                <w:rFonts w:ascii="Arial" w:hAnsi="Arial"/>
              </w:rPr>
              <w:t>Social Sciences Department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8456F">
            <w:pPr>
              <w:rPr>
                <w:rFonts w:ascii="Arial" w:hAnsi="Arial"/>
              </w:rPr>
            </w:pPr>
            <w:r>
              <w:rPr>
                <w:rFonts w:ascii="Arial" w:hAnsi="Arial"/>
              </w:rPr>
              <w:t>Lisa Piotrowski</w:t>
            </w:r>
          </w:p>
          <w:p w:rsidR="00757B48" w:rsidRPr="00F1598C" w:rsidRDefault="00B8456F">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8456F">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8456F">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8456F">
            <w:pPr>
              <w:rPr>
                <w:rFonts w:ascii="Arial" w:hAnsi="Arial"/>
              </w:rPr>
            </w:pPr>
            <w:r>
              <w:rPr>
                <w:rFonts w:ascii="Arial" w:hAnsi="Arial"/>
              </w:rPr>
              <w:t xml:space="preserve">2 </w:t>
            </w:r>
            <w:proofErr w:type="spellStart"/>
            <w:smartTag w:uri="urn:schemas-microsoft-com:office:smarttags" w:element="stockticker">
              <w:r>
                <w:rPr>
                  <w:rFonts w:ascii="Arial" w:hAnsi="Arial"/>
                </w:rPr>
                <w:t>HRS</w:t>
              </w:r>
            </w:smartTag>
            <w:proofErr w:type="spellEnd"/>
            <w:r>
              <w:rPr>
                <w:rFonts w:ascii="Arial" w:hAnsi="Arial"/>
              </w:rPr>
              <w:t>/WEEK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596"/>
        <w:gridCol w:w="18"/>
      </w:tblGrid>
      <w:tr w:rsidR="00B8456F" w:rsidTr="00B8456F">
        <w:tc>
          <w:tcPr>
            <w:tcW w:w="675" w:type="dxa"/>
            <w:hideMark/>
          </w:tcPr>
          <w:p w:rsidR="00B8456F" w:rsidRDefault="00B8456F">
            <w:pPr>
              <w:rPr>
                <w:rFonts w:ascii="Arial" w:hAnsi="Arial"/>
                <w:b/>
              </w:rPr>
            </w:pPr>
            <w:r>
              <w:rPr>
                <w:rFonts w:ascii="Arial" w:hAnsi="Arial"/>
                <w:b/>
              </w:rPr>
              <w:lastRenderedPageBreak/>
              <w:t>I.</w:t>
            </w:r>
          </w:p>
        </w:tc>
        <w:tc>
          <w:tcPr>
            <w:tcW w:w="8181" w:type="dxa"/>
            <w:gridSpan w:val="3"/>
          </w:tcPr>
          <w:p w:rsidR="00B8456F" w:rsidRDefault="00B8456F">
            <w:pPr>
              <w:rPr>
                <w:rFonts w:ascii="Arial" w:hAnsi="Arial"/>
                <w:b/>
              </w:rPr>
            </w:pPr>
            <w:r>
              <w:rPr>
                <w:rFonts w:ascii="Arial" w:hAnsi="Arial"/>
                <w:b/>
              </w:rPr>
              <w:t>COURSE DESCRIPTION:</w:t>
            </w:r>
          </w:p>
          <w:p w:rsidR="00B8456F" w:rsidRDefault="00B8456F">
            <w:pPr>
              <w:rPr>
                <w:rFonts w:ascii="Arial" w:hAnsi="Arial"/>
                <w:b/>
              </w:rPr>
            </w:pPr>
          </w:p>
          <w:p w:rsidR="00B8456F" w:rsidRDefault="00B8456F">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This course will provide the participants with an introduction to the history and cultural survival </w:t>
            </w:r>
            <w:bookmarkStart w:id="0" w:name="_GoBack"/>
            <w:bookmarkEnd w:id="0"/>
            <w:r>
              <w:rPr>
                <w:rFonts w:ascii="Arial" w:hAnsi="Arial" w:cs="Arial"/>
                <w:szCs w:val="24"/>
                <w:lang w:val="en-CA" w:eastAsia="en-CA"/>
              </w:rPr>
              <w:t xml:space="preserve">of </w:t>
            </w:r>
            <w:smartTag w:uri="urn:schemas-microsoft-com:office:smarttags" w:element="country-region">
              <w:smartTag w:uri="urn:schemas-microsoft-com:office:smarttags" w:element="place">
                <w:r>
                  <w:rPr>
                    <w:rFonts w:ascii="Arial" w:hAnsi="Arial" w:cs="Arial"/>
                    <w:szCs w:val="24"/>
                    <w:lang w:val="en-CA" w:eastAsia="en-CA"/>
                  </w:rPr>
                  <w:t>Canada</w:t>
                </w:r>
              </w:smartTag>
            </w:smartTag>
            <w:r>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Pr>
                <w:rFonts w:ascii="Arial" w:hAnsi="Arial" w:cs="Arial"/>
                <w:color w:val="0000FF"/>
                <w:szCs w:val="24"/>
                <w:lang w:val="en-CA" w:eastAsia="en-CA"/>
              </w:rPr>
              <w:t xml:space="preserve"> </w:t>
            </w:r>
            <w:r>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Pr>
                    <w:rFonts w:ascii="Arial" w:hAnsi="Arial" w:cs="Arial"/>
                    <w:szCs w:val="24"/>
                    <w:lang w:val="en-CA" w:eastAsia="en-CA"/>
                  </w:rPr>
                  <w:t>Canada</w:t>
                </w:r>
              </w:smartTag>
            </w:smartTag>
            <w:r>
              <w:rPr>
                <w:rFonts w:ascii="Arial" w:hAnsi="Arial" w:cs="Arial"/>
                <w:szCs w:val="24"/>
                <w:lang w:val="en-CA" w:eastAsia="en-CA"/>
              </w:rPr>
              <w:t>.</w:t>
            </w:r>
          </w:p>
          <w:p w:rsidR="00B8456F" w:rsidRDefault="00B8456F">
            <w:pPr>
              <w:autoSpaceDE w:val="0"/>
              <w:autoSpaceDN w:val="0"/>
              <w:adjustRightInd w:val="0"/>
              <w:rPr>
                <w:rFonts w:ascii="Arial" w:hAnsi="Arial" w:cs="Arial"/>
                <w:szCs w:val="24"/>
                <w:lang w:val="en-CA" w:eastAsia="en-CA"/>
              </w:rPr>
            </w:pPr>
          </w:p>
          <w:p w:rsidR="00B8456F" w:rsidRDefault="00B8456F">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B8456F" w:rsidRDefault="00B8456F">
            <w:pPr>
              <w:rPr>
                <w:rFonts w:ascii="Arial" w:hAnsi="Arial"/>
              </w:rPr>
            </w:pPr>
          </w:p>
        </w:tc>
      </w:tr>
      <w:tr w:rsidR="00B8456F" w:rsidTr="00B8456F">
        <w:trPr>
          <w:cantSplit/>
        </w:trPr>
        <w:tc>
          <w:tcPr>
            <w:tcW w:w="675" w:type="dxa"/>
            <w:hideMark/>
          </w:tcPr>
          <w:p w:rsidR="00B8456F" w:rsidRDefault="00B8456F">
            <w:pPr>
              <w:rPr>
                <w:rFonts w:ascii="Arial" w:hAnsi="Arial"/>
                <w:b/>
              </w:rPr>
            </w:pPr>
            <w:r>
              <w:rPr>
                <w:rFonts w:ascii="Arial" w:hAnsi="Arial"/>
                <w:b/>
              </w:rPr>
              <w:t>II.</w:t>
            </w:r>
          </w:p>
        </w:tc>
        <w:tc>
          <w:tcPr>
            <w:tcW w:w="8181" w:type="dxa"/>
            <w:gridSpan w:val="3"/>
          </w:tcPr>
          <w:p w:rsidR="00B8456F" w:rsidRDefault="00B8456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8456F" w:rsidRDefault="00B8456F">
            <w:pPr>
              <w:rPr>
                <w:rFonts w:ascii="Arial" w:hAnsi="Arial"/>
              </w:rPr>
            </w:pPr>
          </w:p>
        </w:tc>
      </w:tr>
      <w:tr w:rsidR="00B8456F" w:rsidTr="00B8456F">
        <w:trPr>
          <w:cantSplit/>
        </w:trPr>
        <w:tc>
          <w:tcPr>
            <w:tcW w:w="675" w:type="dxa"/>
          </w:tcPr>
          <w:p w:rsidR="00B8456F" w:rsidRDefault="00B8456F">
            <w:pPr>
              <w:rPr>
                <w:rFonts w:ascii="Arial" w:hAnsi="Arial"/>
              </w:rPr>
            </w:pPr>
          </w:p>
        </w:tc>
        <w:tc>
          <w:tcPr>
            <w:tcW w:w="8181" w:type="dxa"/>
            <w:gridSpan w:val="3"/>
          </w:tcPr>
          <w:p w:rsidR="00B8456F" w:rsidRDefault="00B8456F">
            <w:pPr>
              <w:rPr>
                <w:rFonts w:ascii="Arial" w:hAnsi="Arial"/>
              </w:rPr>
            </w:pPr>
            <w:r>
              <w:rPr>
                <w:rFonts w:ascii="Arial" w:hAnsi="Arial"/>
              </w:rPr>
              <w:t>Upon successful completion of this course, the student will demonstrate the ability to:</w:t>
            </w:r>
          </w:p>
          <w:p w:rsidR="00B8456F" w:rsidRDefault="00B8456F">
            <w:pPr>
              <w:rPr>
                <w:rFonts w:ascii="Arial" w:hAnsi="Arial"/>
              </w:rPr>
            </w:pPr>
          </w:p>
        </w:tc>
      </w:tr>
      <w:tr w:rsidR="00B8456F" w:rsidTr="00B8456F">
        <w:tc>
          <w:tcPr>
            <w:tcW w:w="675" w:type="dxa"/>
          </w:tcPr>
          <w:p w:rsidR="00B8456F" w:rsidRDefault="00B8456F">
            <w:pPr>
              <w:rPr>
                <w:rFonts w:ascii="Arial" w:hAnsi="Arial"/>
                <w:b/>
              </w:rPr>
            </w:pPr>
          </w:p>
        </w:tc>
        <w:tc>
          <w:tcPr>
            <w:tcW w:w="567" w:type="dxa"/>
            <w:hideMark/>
          </w:tcPr>
          <w:p w:rsidR="00B8456F" w:rsidRDefault="00B8456F">
            <w:pPr>
              <w:rPr>
                <w:rFonts w:ascii="Arial" w:hAnsi="Arial"/>
                <w:b/>
              </w:rPr>
            </w:pPr>
            <w:r>
              <w:rPr>
                <w:rFonts w:ascii="Arial" w:hAnsi="Arial"/>
                <w:b/>
              </w:rPr>
              <w:t>1.</w:t>
            </w:r>
          </w:p>
        </w:tc>
        <w:tc>
          <w:tcPr>
            <w:tcW w:w="7614" w:type="dxa"/>
            <w:gridSpan w:val="2"/>
          </w:tcPr>
          <w:p w:rsidR="00B8456F" w:rsidRDefault="00B8456F">
            <w:pPr>
              <w:rPr>
                <w:rFonts w:ascii="Arial" w:hAnsi="Arial"/>
                <w:b/>
              </w:rPr>
            </w:pPr>
            <w:r>
              <w:rPr>
                <w:rFonts w:ascii="Arial" w:hAnsi="Arial"/>
                <w:b/>
              </w:rPr>
              <w:t>Develop a basic understanding of the core concepts in Aboriginal worldview and philosophy.</w:t>
            </w:r>
          </w:p>
          <w:p w:rsidR="00B8456F" w:rsidRDefault="00B8456F">
            <w:pPr>
              <w:rPr>
                <w:rFonts w:ascii="Arial" w:hAnsi="Arial"/>
                <w:b/>
              </w:rPr>
            </w:pPr>
          </w:p>
        </w:tc>
      </w:tr>
      <w:tr w:rsidR="00B8456F" w:rsidTr="00B8456F">
        <w:tc>
          <w:tcPr>
            <w:tcW w:w="675" w:type="dxa"/>
          </w:tcPr>
          <w:p w:rsidR="00B8456F" w:rsidRDefault="00B8456F">
            <w:pPr>
              <w:rPr>
                <w:rFonts w:ascii="Arial" w:hAnsi="Arial"/>
              </w:rPr>
            </w:pPr>
          </w:p>
        </w:tc>
        <w:tc>
          <w:tcPr>
            <w:tcW w:w="567" w:type="dxa"/>
          </w:tcPr>
          <w:p w:rsidR="00B8456F" w:rsidRDefault="00B8456F">
            <w:pPr>
              <w:rPr>
                <w:rFonts w:ascii="Arial" w:hAnsi="Arial"/>
              </w:rPr>
            </w:pPr>
          </w:p>
        </w:tc>
        <w:tc>
          <w:tcPr>
            <w:tcW w:w="7614" w:type="dxa"/>
            <w:gridSpan w:val="2"/>
          </w:tcPr>
          <w:p w:rsidR="00B8456F" w:rsidRDefault="00B8456F">
            <w:pPr>
              <w:rPr>
                <w:rFonts w:ascii="Arial" w:hAnsi="Arial"/>
                <w:u w:val="single"/>
              </w:rPr>
            </w:pPr>
            <w:r>
              <w:rPr>
                <w:rFonts w:ascii="Arial" w:hAnsi="Arial"/>
                <w:u w:val="single"/>
              </w:rPr>
              <w:t>Potential Elements of the Performance:</w:t>
            </w:r>
          </w:p>
          <w:p w:rsidR="00B8456F" w:rsidRDefault="00B8456F" w:rsidP="00B8456F">
            <w:pPr>
              <w:numPr>
                <w:ilvl w:val="0"/>
                <w:numId w:val="23"/>
              </w:numPr>
              <w:rPr>
                <w:rFonts w:ascii="Arial" w:hAnsi="Arial"/>
              </w:rPr>
            </w:pPr>
            <w:r>
              <w:rPr>
                <w:rFonts w:ascii="Arial" w:hAnsi="Arial"/>
              </w:rPr>
              <w:t>Utilize a working terminology.</w:t>
            </w:r>
          </w:p>
          <w:p w:rsidR="00B8456F" w:rsidRDefault="00B8456F" w:rsidP="00B8456F">
            <w:pPr>
              <w:numPr>
                <w:ilvl w:val="0"/>
                <w:numId w:val="23"/>
              </w:numPr>
              <w:rPr>
                <w:rFonts w:ascii="Arial" w:hAnsi="Arial"/>
              </w:rPr>
            </w:pPr>
            <w:r>
              <w:rPr>
                <w:rFonts w:ascii="Arial" w:hAnsi="Arial"/>
              </w:rPr>
              <w:t>Distinguish between culture and worldview.</w:t>
            </w:r>
          </w:p>
          <w:p w:rsidR="00B8456F" w:rsidRDefault="00B8456F" w:rsidP="00B8456F">
            <w:pPr>
              <w:numPr>
                <w:ilvl w:val="0"/>
                <w:numId w:val="23"/>
              </w:numPr>
              <w:rPr>
                <w:rFonts w:ascii="Arial" w:hAnsi="Arial"/>
              </w:rPr>
            </w:pPr>
            <w:r>
              <w:rPr>
                <w:rFonts w:ascii="Arial" w:hAnsi="Arial"/>
              </w:rPr>
              <w:t>Define universals in North American Aboriginal worldview.</w:t>
            </w:r>
          </w:p>
          <w:p w:rsidR="00B8456F" w:rsidRDefault="00B8456F">
            <w:pPr>
              <w:rPr>
                <w:rFonts w:ascii="Arial" w:hAnsi="Arial"/>
              </w:rPr>
            </w:pPr>
          </w:p>
        </w:tc>
      </w:tr>
      <w:tr w:rsidR="00B8456F" w:rsidTr="00B8456F">
        <w:tc>
          <w:tcPr>
            <w:tcW w:w="675" w:type="dxa"/>
          </w:tcPr>
          <w:p w:rsidR="00B8456F" w:rsidRDefault="00B8456F">
            <w:pPr>
              <w:rPr>
                <w:rFonts w:ascii="Arial" w:hAnsi="Arial"/>
                <w:b/>
              </w:rPr>
            </w:pPr>
          </w:p>
        </w:tc>
        <w:tc>
          <w:tcPr>
            <w:tcW w:w="567" w:type="dxa"/>
            <w:hideMark/>
          </w:tcPr>
          <w:p w:rsidR="00B8456F" w:rsidRDefault="00B8456F">
            <w:pPr>
              <w:rPr>
                <w:rFonts w:ascii="Arial" w:hAnsi="Arial"/>
                <w:b/>
              </w:rPr>
            </w:pPr>
            <w:r>
              <w:rPr>
                <w:rFonts w:ascii="Arial" w:hAnsi="Arial"/>
                <w:b/>
              </w:rPr>
              <w:t>2.</w:t>
            </w:r>
          </w:p>
        </w:tc>
        <w:tc>
          <w:tcPr>
            <w:tcW w:w="7614" w:type="dxa"/>
            <w:gridSpan w:val="2"/>
            <w:hideMark/>
          </w:tcPr>
          <w:p w:rsidR="00B8456F" w:rsidRDefault="00B8456F">
            <w:pPr>
              <w:rPr>
                <w:rFonts w:ascii="Arial" w:hAnsi="Arial"/>
                <w:b/>
              </w:rPr>
            </w:pPr>
            <w:r>
              <w:rPr>
                <w:rFonts w:ascii="Arial" w:hAnsi="Arial"/>
                <w:b/>
              </w:rPr>
              <w:t xml:space="preserve">Demonstrate a basic understanding of the effects of colonization of Aboriginal Canadians. </w:t>
            </w:r>
          </w:p>
        </w:tc>
      </w:tr>
      <w:tr w:rsidR="00B8456F" w:rsidTr="00B8456F">
        <w:tc>
          <w:tcPr>
            <w:tcW w:w="675" w:type="dxa"/>
          </w:tcPr>
          <w:p w:rsidR="00B8456F" w:rsidRDefault="00B8456F">
            <w:pPr>
              <w:rPr>
                <w:rFonts w:ascii="Arial" w:hAnsi="Arial"/>
              </w:rPr>
            </w:pPr>
          </w:p>
        </w:tc>
        <w:tc>
          <w:tcPr>
            <w:tcW w:w="567" w:type="dxa"/>
          </w:tcPr>
          <w:p w:rsidR="00B8456F" w:rsidRDefault="00B8456F">
            <w:pPr>
              <w:rPr>
                <w:rFonts w:ascii="Arial" w:hAnsi="Arial"/>
              </w:rPr>
            </w:pPr>
          </w:p>
        </w:tc>
        <w:tc>
          <w:tcPr>
            <w:tcW w:w="7614" w:type="dxa"/>
            <w:gridSpan w:val="2"/>
          </w:tcPr>
          <w:p w:rsidR="00B8456F" w:rsidRDefault="00B8456F">
            <w:pPr>
              <w:rPr>
                <w:rFonts w:ascii="Arial" w:hAnsi="Arial"/>
              </w:rPr>
            </w:pPr>
            <w:r>
              <w:rPr>
                <w:rFonts w:ascii="Arial" w:hAnsi="Arial"/>
                <w:u w:val="single"/>
              </w:rPr>
              <w:t>Potential Elements of the Performance</w:t>
            </w:r>
            <w:r>
              <w:rPr>
                <w:rFonts w:ascii="Arial" w:hAnsi="Arial"/>
              </w:rPr>
              <w:t>:</w:t>
            </w:r>
          </w:p>
          <w:p w:rsidR="00B8456F" w:rsidRDefault="00B8456F" w:rsidP="00B8456F">
            <w:pPr>
              <w:numPr>
                <w:ilvl w:val="0"/>
                <w:numId w:val="24"/>
              </w:numPr>
              <w:rPr>
                <w:rFonts w:ascii="Arial" w:hAnsi="Arial"/>
              </w:rPr>
            </w:pPr>
            <w:r>
              <w:rPr>
                <w:rFonts w:ascii="Arial" w:hAnsi="Arial"/>
              </w:rPr>
              <w:t>Link historical Aboriginal- European relations to current events.</w:t>
            </w:r>
          </w:p>
          <w:p w:rsidR="00B8456F" w:rsidRDefault="00B8456F" w:rsidP="00B8456F">
            <w:pPr>
              <w:numPr>
                <w:ilvl w:val="0"/>
                <w:numId w:val="24"/>
              </w:numPr>
              <w:rPr>
                <w:rFonts w:ascii="Arial" w:hAnsi="Arial"/>
              </w:rPr>
            </w:pPr>
            <w:r>
              <w:rPr>
                <w:rFonts w:ascii="Arial" w:hAnsi="Arial"/>
              </w:rPr>
              <w:t xml:space="preserve">Understand how the political-economy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impacted on Aboriginal cultures in the country.</w:t>
            </w:r>
          </w:p>
          <w:p w:rsidR="00B8456F" w:rsidRDefault="00B8456F" w:rsidP="00B8456F">
            <w:pPr>
              <w:numPr>
                <w:ilvl w:val="0"/>
                <w:numId w:val="24"/>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B8456F" w:rsidRDefault="00B8456F" w:rsidP="00B8456F">
            <w:pPr>
              <w:numPr>
                <w:ilvl w:val="0"/>
                <w:numId w:val="24"/>
              </w:numPr>
              <w:rPr>
                <w:rFonts w:ascii="Arial" w:hAnsi="Arial"/>
              </w:rPr>
            </w:pPr>
            <w:r>
              <w:rPr>
                <w:rFonts w:ascii="Arial" w:hAnsi="Arial"/>
              </w:rPr>
              <w:t>Identify the effects of the acculturation process on Aboriginal identity, economic development and social structure.</w:t>
            </w:r>
          </w:p>
          <w:p w:rsidR="00B8456F" w:rsidRDefault="00B8456F">
            <w:pPr>
              <w:pStyle w:val="EnvelopeReturn"/>
            </w:pPr>
          </w:p>
        </w:tc>
      </w:tr>
      <w:tr w:rsidR="00B8456F" w:rsidTr="00B8456F">
        <w:tc>
          <w:tcPr>
            <w:tcW w:w="675" w:type="dxa"/>
          </w:tcPr>
          <w:p w:rsidR="00B8456F" w:rsidRDefault="00B8456F">
            <w:pPr>
              <w:rPr>
                <w:rFonts w:ascii="Arial" w:hAnsi="Arial"/>
                <w:b/>
              </w:rPr>
            </w:pPr>
          </w:p>
        </w:tc>
        <w:tc>
          <w:tcPr>
            <w:tcW w:w="567" w:type="dxa"/>
            <w:hideMark/>
          </w:tcPr>
          <w:p w:rsidR="00B8456F" w:rsidRDefault="00B8456F">
            <w:pPr>
              <w:rPr>
                <w:rFonts w:ascii="Arial" w:hAnsi="Arial"/>
                <w:b/>
              </w:rPr>
            </w:pPr>
            <w:r>
              <w:rPr>
                <w:rFonts w:ascii="Arial" w:hAnsi="Arial"/>
                <w:b/>
              </w:rPr>
              <w:t>3.</w:t>
            </w:r>
          </w:p>
        </w:tc>
        <w:tc>
          <w:tcPr>
            <w:tcW w:w="7614" w:type="dxa"/>
            <w:gridSpan w:val="2"/>
            <w:hideMark/>
          </w:tcPr>
          <w:p w:rsidR="00B8456F" w:rsidRDefault="00B8456F">
            <w:pPr>
              <w:rPr>
                <w:rFonts w:ascii="Arial" w:hAnsi="Arial"/>
                <w:b/>
              </w:rPr>
            </w:pPr>
            <w:r>
              <w:rPr>
                <w:rFonts w:ascii="Arial" w:hAnsi="Arial"/>
                <w:b/>
              </w:rPr>
              <w:t xml:space="preserve">Understand Canadian Aboriginal People as a collective culture and their current cultural identity crisis. </w:t>
            </w:r>
          </w:p>
        </w:tc>
      </w:tr>
      <w:tr w:rsidR="00B8456F" w:rsidTr="00B8456F">
        <w:tc>
          <w:tcPr>
            <w:tcW w:w="675" w:type="dxa"/>
          </w:tcPr>
          <w:p w:rsidR="00B8456F" w:rsidRDefault="00B8456F">
            <w:pPr>
              <w:rPr>
                <w:rFonts w:ascii="Arial" w:hAnsi="Arial"/>
              </w:rPr>
            </w:pPr>
          </w:p>
        </w:tc>
        <w:tc>
          <w:tcPr>
            <w:tcW w:w="567" w:type="dxa"/>
          </w:tcPr>
          <w:p w:rsidR="00B8456F" w:rsidRDefault="00B8456F">
            <w:pPr>
              <w:rPr>
                <w:rFonts w:ascii="Arial" w:hAnsi="Arial"/>
              </w:rPr>
            </w:pPr>
          </w:p>
        </w:tc>
        <w:tc>
          <w:tcPr>
            <w:tcW w:w="7614" w:type="dxa"/>
            <w:gridSpan w:val="2"/>
            <w:hideMark/>
          </w:tcPr>
          <w:p w:rsidR="00B8456F" w:rsidRDefault="00B8456F">
            <w:pPr>
              <w:rPr>
                <w:rFonts w:ascii="Arial" w:hAnsi="Arial"/>
              </w:rPr>
            </w:pPr>
            <w:r>
              <w:rPr>
                <w:rFonts w:ascii="Arial" w:hAnsi="Arial"/>
                <w:u w:val="single"/>
              </w:rPr>
              <w:t>Potential Elements of the Performance</w:t>
            </w:r>
            <w:r>
              <w:rPr>
                <w:rFonts w:ascii="Arial" w:hAnsi="Arial"/>
              </w:rPr>
              <w:t>:</w:t>
            </w:r>
          </w:p>
          <w:p w:rsidR="00B8456F" w:rsidRDefault="00B8456F" w:rsidP="00B8456F">
            <w:pPr>
              <w:numPr>
                <w:ilvl w:val="0"/>
                <w:numId w:val="25"/>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B8456F" w:rsidRDefault="00B8456F" w:rsidP="00B8456F">
            <w:pPr>
              <w:numPr>
                <w:ilvl w:val="0"/>
                <w:numId w:val="25"/>
              </w:numPr>
              <w:rPr>
                <w:rFonts w:ascii="Arial" w:hAnsi="Arial"/>
              </w:rPr>
            </w:pPr>
            <w:r>
              <w:rPr>
                <w:rFonts w:ascii="Arial" w:hAnsi="Arial"/>
              </w:rPr>
              <w:t>Summarize the role of the Indian Act in the Aboriginal identity crisis.</w:t>
            </w:r>
          </w:p>
          <w:p w:rsidR="00B8456F" w:rsidRDefault="00B8456F" w:rsidP="00B8456F">
            <w:pPr>
              <w:numPr>
                <w:ilvl w:val="0"/>
                <w:numId w:val="25"/>
              </w:numPr>
              <w:rPr>
                <w:rFonts w:ascii="Arial" w:hAnsi="Arial"/>
              </w:rPr>
            </w:pPr>
            <w:r>
              <w:rPr>
                <w:rFonts w:ascii="Arial" w:hAnsi="Arial"/>
              </w:rPr>
              <w:t xml:space="preserve">Identify the four main groups of Canadian Aboriginal peoples </w:t>
            </w:r>
            <w:r>
              <w:rPr>
                <w:rFonts w:ascii="Arial" w:hAnsi="Arial"/>
              </w:rPr>
              <w:lastRenderedPageBreak/>
              <w:t>recognized by the Canadian Government.</w:t>
            </w:r>
          </w:p>
        </w:tc>
      </w:tr>
      <w:tr w:rsidR="00B8456F" w:rsidTr="00B8456F">
        <w:trPr>
          <w:gridAfter w:val="1"/>
          <w:wAfter w:w="18" w:type="dxa"/>
        </w:trPr>
        <w:tc>
          <w:tcPr>
            <w:tcW w:w="675" w:type="dxa"/>
          </w:tcPr>
          <w:p w:rsidR="00B8456F" w:rsidRDefault="00B8456F">
            <w:pPr>
              <w:rPr>
                <w:rFonts w:ascii="Arial" w:hAnsi="Arial"/>
                <w:b/>
              </w:rPr>
            </w:pPr>
          </w:p>
        </w:tc>
        <w:tc>
          <w:tcPr>
            <w:tcW w:w="567" w:type="dxa"/>
            <w:hideMark/>
          </w:tcPr>
          <w:p w:rsidR="00B8456F" w:rsidRDefault="00B8456F">
            <w:pPr>
              <w:rPr>
                <w:rFonts w:ascii="Arial" w:hAnsi="Arial"/>
                <w:b/>
              </w:rPr>
            </w:pPr>
            <w:r>
              <w:rPr>
                <w:rFonts w:ascii="Arial" w:hAnsi="Arial"/>
                <w:b/>
              </w:rPr>
              <w:t>4.</w:t>
            </w:r>
          </w:p>
        </w:tc>
        <w:tc>
          <w:tcPr>
            <w:tcW w:w="7596" w:type="dxa"/>
          </w:tcPr>
          <w:p w:rsidR="00B8456F" w:rsidRDefault="00B8456F">
            <w:pPr>
              <w:rPr>
                <w:rFonts w:ascii="Arial" w:hAnsi="Arial"/>
                <w:b/>
              </w:rPr>
            </w:pPr>
            <w:r>
              <w:rPr>
                <w:rFonts w:ascii="Arial" w:hAnsi="Arial"/>
                <w:b/>
              </w:rPr>
              <w:t xml:space="preserve">Identify issues relating to the populations, health, social and economic status of Canada’s Aboriginal people. </w:t>
            </w:r>
          </w:p>
          <w:p w:rsidR="00B8456F" w:rsidRDefault="00B8456F">
            <w:pPr>
              <w:rPr>
                <w:rFonts w:ascii="Arial" w:hAnsi="Arial"/>
                <w:b/>
              </w:rPr>
            </w:pPr>
          </w:p>
        </w:tc>
      </w:tr>
      <w:tr w:rsidR="00B8456F" w:rsidTr="00B8456F">
        <w:trPr>
          <w:gridAfter w:val="1"/>
          <w:wAfter w:w="18" w:type="dxa"/>
        </w:trPr>
        <w:tc>
          <w:tcPr>
            <w:tcW w:w="675" w:type="dxa"/>
          </w:tcPr>
          <w:p w:rsidR="00B8456F" w:rsidRDefault="00B8456F">
            <w:pPr>
              <w:rPr>
                <w:rFonts w:ascii="Arial" w:hAnsi="Arial"/>
              </w:rPr>
            </w:pPr>
          </w:p>
        </w:tc>
        <w:tc>
          <w:tcPr>
            <w:tcW w:w="567" w:type="dxa"/>
          </w:tcPr>
          <w:p w:rsidR="00B8456F" w:rsidRDefault="00B8456F">
            <w:pPr>
              <w:rPr>
                <w:rFonts w:ascii="Arial" w:hAnsi="Arial"/>
              </w:rPr>
            </w:pPr>
          </w:p>
        </w:tc>
        <w:tc>
          <w:tcPr>
            <w:tcW w:w="7596" w:type="dxa"/>
          </w:tcPr>
          <w:p w:rsidR="00B8456F" w:rsidRDefault="00B8456F">
            <w:pPr>
              <w:rPr>
                <w:rFonts w:ascii="Arial" w:hAnsi="Arial"/>
              </w:rPr>
            </w:pPr>
            <w:r>
              <w:rPr>
                <w:rFonts w:ascii="Arial" w:hAnsi="Arial"/>
                <w:u w:val="single"/>
              </w:rPr>
              <w:t>Potential Elements of the Performance</w:t>
            </w:r>
            <w:r>
              <w:rPr>
                <w:rFonts w:ascii="Arial" w:hAnsi="Arial"/>
              </w:rPr>
              <w:t>:</w:t>
            </w:r>
          </w:p>
          <w:p w:rsidR="00B8456F" w:rsidRDefault="00B8456F" w:rsidP="00B8456F">
            <w:pPr>
              <w:numPr>
                <w:ilvl w:val="0"/>
                <w:numId w:val="26"/>
              </w:numPr>
              <w:rPr>
                <w:rFonts w:ascii="Arial" w:hAnsi="Arial"/>
              </w:rPr>
            </w:pPr>
            <w:r>
              <w:rPr>
                <w:rFonts w:ascii="Arial" w:hAnsi="Arial"/>
              </w:rPr>
              <w:t>Explain the role of national surveys and census in determining programming, policy and funding.</w:t>
            </w:r>
          </w:p>
          <w:p w:rsidR="00B8456F" w:rsidRDefault="00B8456F" w:rsidP="00B8456F">
            <w:pPr>
              <w:numPr>
                <w:ilvl w:val="0"/>
                <w:numId w:val="26"/>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B8456F" w:rsidRDefault="00B8456F" w:rsidP="00B8456F">
            <w:pPr>
              <w:numPr>
                <w:ilvl w:val="0"/>
                <w:numId w:val="26"/>
              </w:numPr>
              <w:rPr>
                <w:rFonts w:ascii="Arial" w:hAnsi="Arial"/>
              </w:rPr>
            </w:pPr>
            <w:r>
              <w:rPr>
                <w:rFonts w:ascii="Arial" w:hAnsi="Arial"/>
              </w:rPr>
              <w:t xml:space="preserve">Connect Aboriginal health issues to environmental conditions. </w:t>
            </w:r>
          </w:p>
          <w:p w:rsidR="00B8456F" w:rsidRDefault="00B8456F" w:rsidP="00B8456F">
            <w:pPr>
              <w:numPr>
                <w:ilvl w:val="0"/>
                <w:numId w:val="26"/>
              </w:numPr>
              <w:rPr>
                <w:rFonts w:ascii="Arial" w:hAnsi="Arial"/>
              </w:rPr>
            </w:pPr>
            <w:r>
              <w:rPr>
                <w:rFonts w:ascii="Arial" w:hAnsi="Arial"/>
              </w:rPr>
              <w:t>Identify basic connections between statistics, service programming and community life.</w:t>
            </w:r>
          </w:p>
          <w:p w:rsidR="00B8456F" w:rsidRDefault="00B8456F">
            <w:pPr>
              <w:rPr>
                <w:rFonts w:ascii="Arial" w:hAnsi="Arial"/>
              </w:rPr>
            </w:pPr>
          </w:p>
        </w:tc>
      </w:tr>
      <w:tr w:rsidR="00B8456F" w:rsidTr="00B8456F">
        <w:trPr>
          <w:gridAfter w:val="1"/>
          <w:wAfter w:w="18" w:type="dxa"/>
        </w:trPr>
        <w:tc>
          <w:tcPr>
            <w:tcW w:w="675" w:type="dxa"/>
          </w:tcPr>
          <w:p w:rsidR="00B8456F" w:rsidRDefault="00B8456F">
            <w:pPr>
              <w:rPr>
                <w:rFonts w:ascii="Arial" w:hAnsi="Arial"/>
                <w:b/>
              </w:rPr>
            </w:pPr>
          </w:p>
        </w:tc>
        <w:tc>
          <w:tcPr>
            <w:tcW w:w="567" w:type="dxa"/>
            <w:hideMark/>
          </w:tcPr>
          <w:p w:rsidR="00B8456F" w:rsidRDefault="00B8456F">
            <w:pPr>
              <w:rPr>
                <w:rFonts w:ascii="Arial" w:hAnsi="Arial"/>
                <w:b/>
              </w:rPr>
            </w:pPr>
            <w:r>
              <w:rPr>
                <w:rFonts w:ascii="Arial" w:hAnsi="Arial"/>
                <w:b/>
              </w:rPr>
              <w:t>5.</w:t>
            </w:r>
          </w:p>
        </w:tc>
        <w:tc>
          <w:tcPr>
            <w:tcW w:w="7596" w:type="dxa"/>
          </w:tcPr>
          <w:p w:rsidR="00B8456F" w:rsidRPr="00B8456F" w:rsidRDefault="00B8456F">
            <w:pPr>
              <w:pStyle w:val="BodyText"/>
              <w:rPr>
                <w:rFonts w:ascii="Arial" w:hAnsi="Arial" w:cs="Arial"/>
                <w:b/>
              </w:rPr>
            </w:pPr>
            <w:r w:rsidRPr="00B8456F">
              <w:rPr>
                <w:rFonts w:ascii="Arial" w:hAnsi="Arial" w:cs="Arial"/>
                <w:b/>
              </w:rPr>
              <w:t>Have a basic understanding of the initiatives and strategies devised and implemented by Canadian Aboriginal peoples to address their social, political, economic and spiritual needs on First Nations and in the urban Native experience.</w:t>
            </w:r>
          </w:p>
        </w:tc>
      </w:tr>
      <w:tr w:rsidR="00B8456F" w:rsidTr="00B8456F">
        <w:trPr>
          <w:gridAfter w:val="1"/>
          <w:wAfter w:w="18" w:type="dxa"/>
          <w:trHeight w:val="2475"/>
        </w:trPr>
        <w:tc>
          <w:tcPr>
            <w:tcW w:w="675" w:type="dxa"/>
          </w:tcPr>
          <w:p w:rsidR="00B8456F" w:rsidRDefault="00B8456F">
            <w:pPr>
              <w:rPr>
                <w:rFonts w:ascii="Arial" w:hAnsi="Arial"/>
              </w:rPr>
            </w:pPr>
          </w:p>
        </w:tc>
        <w:tc>
          <w:tcPr>
            <w:tcW w:w="567" w:type="dxa"/>
          </w:tcPr>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tc>
        <w:tc>
          <w:tcPr>
            <w:tcW w:w="7596" w:type="dxa"/>
            <w:hideMark/>
          </w:tcPr>
          <w:p w:rsidR="00B8456F" w:rsidRDefault="00B8456F">
            <w:pPr>
              <w:rPr>
                <w:rFonts w:ascii="Arial" w:hAnsi="Arial"/>
              </w:rPr>
            </w:pPr>
            <w:r>
              <w:rPr>
                <w:rFonts w:ascii="Arial" w:hAnsi="Arial"/>
                <w:u w:val="single"/>
              </w:rPr>
              <w:t>Potential Elements of the Performance</w:t>
            </w:r>
            <w:r>
              <w:rPr>
                <w:rFonts w:ascii="Arial" w:hAnsi="Arial"/>
              </w:rPr>
              <w:t>:</w:t>
            </w:r>
          </w:p>
          <w:p w:rsidR="00B8456F" w:rsidRDefault="00B8456F" w:rsidP="00B8456F">
            <w:pPr>
              <w:numPr>
                <w:ilvl w:val="0"/>
                <w:numId w:val="27"/>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B8456F" w:rsidRDefault="00B8456F" w:rsidP="00B8456F">
            <w:pPr>
              <w:numPr>
                <w:ilvl w:val="0"/>
                <w:numId w:val="27"/>
              </w:numPr>
              <w:rPr>
                <w:rFonts w:ascii="Arial" w:hAnsi="Arial"/>
              </w:rPr>
            </w:pPr>
            <w:r>
              <w:rPr>
                <w:rFonts w:ascii="Arial" w:hAnsi="Arial"/>
              </w:rPr>
              <w:t>Connect off reserve migration with characteristics of reserves, including structural, social and cultural conditions.</w:t>
            </w:r>
          </w:p>
          <w:p w:rsidR="00B8456F" w:rsidRDefault="00B8456F" w:rsidP="00B8456F">
            <w:pPr>
              <w:numPr>
                <w:ilvl w:val="0"/>
                <w:numId w:val="27"/>
              </w:numPr>
              <w:rPr>
                <w:rFonts w:ascii="Arial" w:hAnsi="Arial"/>
              </w:rPr>
            </w:pPr>
            <w:r>
              <w:rPr>
                <w:rFonts w:ascii="Arial" w:hAnsi="Arial"/>
              </w:rPr>
              <w:t>Identify conflicts in Aboriginal urbanization between recognition of the Canadian Aboriginal population as ‘citizens plus’ and continuing assimilation attempts.</w:t>
            </w:r>
          </w:p>
        </w:tc>
      </w:tr>
      <w:tr w:rsidR="00B8456F" w:rsidTr="00B8456F">
        <w:trPr>
          <w:gridAfter w:val="1"/>
          <w:wAfter w:w="18" w:type="dxa"/>
          <w:trHeight w:val="2715"/>
        </w:trPr>
        <w:tc>
          <w:tcPr>
            <w:tcW w:w="675" w:type="dxa"/>
          </w:tcPr>
          <w:p w:rsidR="00B8456F" w:rsidRDefault="00B8456F">
            <w:pPr>
              <w:rPr>
                <w:rFonts w:ascii="Arial" w:hAnsi="Arial"/>
              </w:rPr>
            </w:pPr>
          </w:p>
        </w:tc>
        <w:tc>
          <w:tcPr>
            <w:tcW w:w="567" w:type="dxa"/>
          </w:tcPr>
          <w:p w:rsidR="00B8456F" w:rsidRDefault="00B8456F">
            <w:pPr>
              <w:rPr>
                <w:rFonts w:ascii="Arial" w:hAnsi="Arial"/>
              </w:rPr>
            </w:pPr>
            <w:r>
              <w:rPr>
                <w:rFonts w:ascii="Arial" w:hAnsi="Arial"/>
              </w:rPr>
              <w:t>6.</w:t>
            </w: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p w:rsidR="00B8456F" w:rsidRDefault="00B8456F">
            <w:pPr>
              <w:rPr>
                <w:rFonts w:ascii="Arial" w:hAnsi="Arial"/>
              </w:rPr>
            </w:pPr>
          </w:p>
        </w:tc>
        <w:tc>
          <w:tcPr>
            <w:tcW w:w="7596" w:type="dxa"/>
            <w:hideMark/>
          </w:tcPr>
          <w:p w:rsidR="00B8456F" w:rsidRPr="00B8456F" w:rsidRDefault="00B8456F">
            <w:pPr>
              <w:pStyle w:val="BodyText"/>
              <w:rPr>
                <w:rFonts w:ascii="Arial" w:hAnsi="Arial" w:cs="Arial"/>
                <w:b/>
                <w:bCs/>
              </w:rPr>
            </w:pPr>
            <w:r w:rsidRPr="00B8456F">
              <w:rPr>
                <w:rFonts w:ascii="Arial" w:hAnsi="Arial" w:cs="Arial"/>
                <w:b/>
                <w:bCs/>
              </w:rPr>
              <w:t xml:space="preserve">Have a basic understanding of the relationship between the Canadian government and Canadian Aboriginal People.  </w:t>
            </w:r>
          </w:p>
          <w:p w:rsidR="00B8456F" w:rsidRDefault="00B8456F">
            <w:pPr>
              <w:rPr>
                <w:rFonts w:ascii="Arial" w:hAnsi="Arial"/>
              </w:rPr>
            </w:pPr>
            <w:r>
              <w:rPr>
                <w:rFonts w:ascii="Arial" w:hAnsi="Arial"/>
                <w:u w:val="single"/>
              </w:rPr>
              <w:t>Potential Elements of the Performance</w:t>
            </w:r>
            <w:r>
              <w:rPr>
                <w:rFonts w:ascii="Arial" w:hAnsi="Arial"/>
              </w:rPr>
              <w:t>:</w:t>
            </w:r>
          </w:p>
          <w:p w:rsidR="00B8456F" w:rsidRDefault="00B8456F" w:rsidP="00B8456F">
            <w:pPr>
              <w:pStyle w:val="EnvelopeReturn"/>
              <w:numPr>
                <w:ilvl w:val="0"/>
                <w:numId w:val="28"/>
              </w:numPr>
            </w:pPr>
            <w:r>
              <w:t>Trace the historical roots of the treaties in the Aboriginal/Federal government relationship.</w:t>
            </w:r>
          </w:p>
          <w:p w:rsidR="00B8456F" w:rsidRDefault="00B8456F" w:rsidP="00B8456F">
            <w:pPr>
              <w:pStyle w:val="EnvelopeReturn"/>
              <w:numPr>
                <w:ilvl w:val="0"/>
                <w:numId w:val="28"/>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B8456F" w:rsidRDefault="00B8456F" w:rsidP="00B8456F">
            <w:pPr>
              <w:pStyle w:val="EnvelopeReturn"/>
              <w:numPr>
                <w:ilvl w:val="0"/>
                <w:numId w:val="28"/>
              </w:numPr>
            </w:pPr>
            <w:r>
              <w:t>Discuss trust as an issue in Aboriginal/Government relationship</w:t>
            </w:r>
          </w:p>
        </w:tc>
      </w:tr>
      <w:tr w:rsidR="00B8456F" w:rsidTr="00B8456F">
        <w:trPr>
          <w:gridAfter w:val="1"/>
          <w:wAfter w:w="18" w:type="dxa"/>
          <w:trHeight w:val="2898"/>
        </w:trPr>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7.</w:t>
            </w:r>
          </w:p>
        </w:tc>
        <w:tc>
          <w:tcPr>
            <w:tcW w:w="7596" w:type="dxa"/>
          </w:tcPr>
          <w:p w:rsidR="00B8456F" w:rsidRDefault="00B8456F">
            <w:pPr>
              <w:pStyle w:val="EnvelopeReturn"/>
              <w:rPr>
                <w:b/>
                <w:bCs/>
              </w:rPr>
            </w:pPr>
            <w:r>
              <w:rPr>
                <w:b/>
                <w:bCs/>
              </w:rPr>
              <w:t>List the types of Aboriginal Organizations in Canada today.</w:t>
            </w:r>
          </w:p>
          <w:p w:rsidR="00B8456F" w:rsidRDefault="00B8456F">
            <w:pPr>
              <w:pStyle w:val="EnvelopeReturn"/>
              <w:rPr>
                <w:b/>
                <w:bCs/>
              </w:rPr>
            </w:pPr>
          </w:p>
          <w:p w:rsidR="00B8456F" w:rsidRDefault="00B8456F">
            <w:pPr>
              <w:pStyle w:val="EnvelopeReturn"/>
            </w:pPr>
            <w:r>
              <w:rPr>
                <w:u w:val="single"/>
              </w:rPr>
              <w:t>Potential Elements of Performance</w:t>
            </w:r>
            <w:r>
              <w:t>:</w:t>
            </w:r>
          </w:p>
          <w:p w:rsidR="00B8456F" w:rsidRDefault="00B8456F" w:rsidP="00B8456F">
            <w:pPr>
              <w:pStyle w:val="EnvelopeReturn"/>
              <w:numPr>
                <w:ilvl w:val="0"/>
                <w:numId w:val="29"/>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B8456F" w:rsidRDefault="00B8456F" w:rsidP="00B8456F">
            <w:pPr>
              <w:pStyle w:val="EnvelopeReturn"/>
              <w:numPr>
                <w:ilvl w:val="0"/>
                <w:numId w:val="29"/>
              </w:numPr>
            </w:pPr>
            <w:r>
              <w:t>Distinguish band, local, and pan-Native organizations to communicate four main types of Aboriginal organizations.</w:t>
            </w:r>
          </w:p>
          <w:p w:rsidR="00B8456F" w:rsidRDefault="00B8456F">
            <w:pPr>
              <w:pStyle w:val="EnvelopeReturn"/>
              <w:ind w:left="360"/>
              <w:rPr>
                <w:bCs/>
              </w:rPr>
            </w:pPr>
          </w:p>
        </w:tc>
      </w:tr>
      <w:tr w:rsidR="00B8456F" w:rsidTr="00B8456F">
        <w:trPr>
          <w:cantSplit/>
        </w:trPr>
        <w:tc>
          <w:tcPr>
            <w:tcW w:w="675" w:type="dxa"/>
            <w:hideMark/>
          </w:tcPr>
          <w:p w:rsidR="00B8456F" w:rsidRDefault="00B8456F">
            <w:pPr>
              <w:rPr>
                <w:rFonts w:ascii="Arial" w:hAnsi="Arial"/>
                <w:b/>
              </w:rPr>
            </w:pPr>
            <w:r>
              <w:rPr>
                <w:rFonts w:ascii="Arial" w:hAnsi="Arial"/>
                <w:b/>
              </w:rPr>
              <w:t>III.</w:t>
            </w:r>
          </w:p>
        </w:tc>
        <w:tc>
          <w:tcPr>
            <w:tcW w:w="8181" w:type="dxa"/>
            <w:gridSpan w:val="3"/>
          </w:tcPr>
          <w:p w:rsidR="00B8456F" w:rsidRDefault="00B8456F">
            <w:pPr>
              <w:rPr>
                <w:rFonts w:ascii="Arial" w:hAnsi="Arial"/>
                <w:b/>
              </w:rPr>
            </w:pPr>
            <w:r>
              <w:rPr>
                <w:rFonts w:ascii="Arial" w:hAnsi="Arial"/>
                <w:b/>
              </w:rPr>
              <w:t>TOPICS:</w:t>
            </w:r>
          </w:p>
          <w:p w:rsidR="00B8456F" w:rsidRDefault="00B8456F">
            <w:pPr>
              <w:rPr>
                <w:rFonts w:ascii="Arial" w:hAnsi="Arial"/>
              </w:rPr>
            </w:pPr>
          </w:p>
        </w:tc>
      </w:tr>
      <w:tr w:rsidR="00B8456F" w:rsidTr="00B8456F">
        <w:trPr>
          <w:trHeight w:val="657"/>
        </w:trPr>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1.</w:t>
            </w:r>
          </w:p>
        </w:tc>
        <w:tc>
          <w:tcPr>
            <w:tcW w:w="7614" w:type="dxa"/>
            <w:gridSpan w:val="2"/>
          </w:tcPr>
          <w:p w:rsidR="00B8456F" w:rsidRDefault="00B8456F">
            <w:pPr>
              <w:rPr>
                <w:rFonts w:ascii="Arial" w:hAnsi="Arial"/>
              </w:rPr>
            </w:pPr>
            <w:r>
              <w:rPr>
                <w:rFonts w:ascii="Arial" w:hAnsi="Arial"/>
              </w:rPr>
              <w:t>Introduction to Aboriginal Cultures, Worldview and related Terminology</w:t>
            </w:r>
          </w:p>
          <w:p w:rsidR="00B8456F" w:rsidRDefault="00B8456F">
            <w:pPr>
              <w:rPr>
                <w:rFonts w:ascii="Arial" w:hAnsi="Arial"/>
              </w:rPr>
            </w:pPr>
          </w:p>
        </w:tc>
      </w:tr>
      <w:tr w:rsidR="00B8456F" w:rsidTr="00B8456F">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2.</w:t>
            </w:r>
          </w:p>
        </w:tc>
        <w:tc>
          <w:tcPr>
            <w:tcW w:w="7614" w:type="dxa"/>
            <w:gridSpan w:val="2"/>
          </w:tcPr>
          <w:p w:rsidR="00B8456F" w:rsidRDefault="00B8456F">
            <w:pPr>
              <w:rPr>
                <w:rFonts w:ascii="Arial" w:hAnsi="Arial"/>
              </w:rPr>
            </w:pPr>
            <w:r>
              <w:rPr>
                <w:rFonts w:ascii="Arial" w:hAnsi="Arial"/>
              </w:rPr>
              <w:t>Effects of Canadian Colonization</w:t>
            </w:r>
          </w:p>
          <w:p w:rsidR="00B8456F" w:rsidRDefault="00B8456F">
            <w:pPr>
              <w:rPr>
                <w:rFonts w:ascii="Arial" w:hAnsi="Arial"/>
              </w:rPr>
            </w:pPr>
          </w:p>
        </w:tc>
      </w:tr>
      <w:tr w:rsidR="00B8456F" w:rsidTr="00B8456F">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3.</w:t>
            </w:r>
          </w:p>
        </w:tc>
        <w:tc>
          <w:tcPr>
            <w:tcW w:w="7614" w:type="dxa"/>
            <w:gridSpan w:val="2"/>
          </w:tcPr>
          <w:p w:rsidR="00B8456F" w:rsidRDefault="00B8456F">
            <w:pPr>
              <w:rPr>
                <w:rFonts w:ascii="Arial" w:hAnsi="Arial"/>
              </w:rPr>
            </w:pPr>
            <w:r>
              <w:rPr>
                <w:rFonts w:ascii="Arial" w:hAnsi="Arial"/>
              </w:rPr>
              <w:t>Aboriginal Identity Crisis</w:t>
            </w:r>
          </w:p>
          <w:p w:rsidR="00B8456F" w:rsidRDefault="00B8456F">
            <w:pPr>
              <w:rPr>
                <w:rFonts w:ascii="Arial" w:hAnsi="Arial"/>
              </w:rPr>
            </w:pPr>
          </w:p>
        </w:tc>
      </w:tr>
      <w:tr w:rsidR="00B8456F" w:rsidTr="00B8456F">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4.</w:t>
            </w:r>
          </w:p>
        </w:tc>
        <w:tc>
          <w:tcPr>
            <w:tcW w:w="7614" w:type="dxa"/>
            <w:gridSpan w:val="2"/>
          </w:tcPr>
          <w:p w:rsidR="00B8456F" w:rsidRDefault="00B8456F">
            <w:pPr>
              <w:rPr>
                <w:rFonts w:ascii="Arial" w:hAnsi="Arial"/>
              </w:rPr>
            </w:pPr>
            <w:r>
              <w:rPr>
                <w:rFonts w:ascii="Arial" w:hAnsi="Arial"/>
              </w:rPr>
              <w:t>Social Demographics Profiles of Aboriginal Canada</w:t>
            </w:r>
          </w:p>
          <w:p w:rsidR="00B8456F" w:rsidRDefault="00B8456F">
            <w:pPr>
              <w:rPr>
                <w:rFonts w:ascii="Arial" w:hAnsi="Arial"/>
              </w:rPr>
            </w:pPr>
          </w:p>
        </w:tc>
      </w:tr>
      <w:tr w:rsidR="00B8456F" w:rsidTr="00B8456F">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5.</w:t>
            </w:r>
          </w:p>
        </w:tc>
        <w:tc>
          <w:tcPr>
            <w:tcW w:w="7614" w:type="dxa"/>
            <w:gridSpan w:val="2"/>
          </w:tcPr>
          <w:p w:rsidR="00B8456F" w:rsidRDefault="00B8456F">
            <w:pPr>
              <w:rPr>
                <w:rFonts w:ascii="Arial" w:hAnsi="Arial"/>
              </w:rPr>
            </w:pPr>
            <w:r>
              <w:rPr>
                <w:rFonts w:ascii="Arial" w:hAnsi="Arial"/>
              </w:rPr>
              <w:t>Aboriginal Urban Life</w:t>
            </w:r>
          </w:p>
          <w:p w:rsidR="00B8456F" w:rsidRDefault="00B8456F">
            <w:pPr>
              <w:rPr>
                <w:rFonts w:ascii="Arial" w:hAnsi="Arial"/>
              </w:rPr>
            </w:pPr>
          </w:p>
        </w:tc>
      </w:tr>
      <w:tr w:rsidR="00B8456F" w:rsidTr="00B8456F">
        <w:tc>
          <w:tcPr>
            <w:tcW w:w="675" w:type="dxa"/>
          </w:tcPr>
          <w:p w:rsidR="00B8456F" w:rsidRDefault="00B8456F">
            <w:pPr>
              <w:rPr>
                <w:rFonts w:ascii="Arial" w:hAnsi="Arial"/>
              </w:rPr>
            </w:pPr>
          </w:p>
        </w:tc>
        <w:tc>
          <w:tcPr>
            <w:tcW w:w="567" w:type="dxa"/>
            <w:hideMark/>
          </w:tcPr>
          <w:p w:rsidR="00B8456F" w:rsidRDefault="00B8456F">
            <w:pPr>
              <w:rPr>
                <w:rFonts w:ascii="Arial" w:hAnsi="Arial"/>
              </w:rPr>
            </w:pPr>
            <w:r>
              <w:rPr>
                <w:rFonts w:ascii="Arial" w:hAnsi="Arial"/>
              </w:rPr>
              <w:t>6</w:t>
            </w:r>
          </w:p>
        </w:tc>
        <w:tc>
          <w:tcPr>
            <w:tcW w:w="7614" w:type="dxa"/>
            <w:gridSpan w:val="2"/>
          </w:tcPr>
          <w:p w:rsidR="00B8456F" w:rsidRDefault="00B8456F">
            <w:pPr>
              <w:rPr>
                <w:rFonts w:ascii="Arial" w:hAnsi="Arial"/>
              </w:rPr>
            </w:pPr>
            <w:r>
              <w:rPr>
                <w:rFonts w:ascii="Arial" w:hAnsi="Arial"/>
              </w:rPr>
              <w:t>Treaties and Scrip</w:t>
            </w:r>
          </w:p>
          <w:p w:rsidR="00B8456F" w:rsidRDefault="00B8456F">
            <w:pPr>
              <w:rPr>
                <w:rFonts w:ascii="Arial" w:hAnsi="Arial"/>
              </w:rPr>
            </w:pPr>
          </w:p>
        </w:tc>
      </w:tr>
      <w:tr w:rsidR="00B8456F" w:rsidTr="00B8456F">
        <w:tc>
          <w:tcPr>
            <w:tcW w:w="675" w:type="dxa"/>
          </w:tcPr>
          <w:p w:rsidR="00B8456F" w:rsidRDefault="00B8456F">
            <w:pPr>
              <w:rPr>
                <w:rFonts w:ascii="Arial" w:hAnsi="Arial"/>
                <w:b/>
              </w:rPr>
            </w:pPr>
          </w:p>
        </w:tc>
        <w:tc>
          <w:tcPr>
            <w:tcW w:w="567" w:type="dxa"/>
            <w:hideMark/>
          </w:tcPr>
          <w:p w:rsidR="00B8456F" w:rsidRDefault="00B8456F">
            <w:pPr>
              <w:rPr>
                <w:rFonts w:ascii="Arial" w:hAnsi="Arial"/>
              </w:rPr>
            </w:pPr>
            <w:r>
              <w:rPr>
                <w:rFonts w:ascii="Arial" w:hAnsi="Arial"/>
              </w:rPr>
              <w:t>7.</w:t>
            </w:r>
          </w:p>
        </w:tc>
        <w:tc>
          <w:tcPr>
            <w:tcW w:w="7614" w:type="dxa"/>
            <w:gridSpan w:val="2"/>
          </w:tcPr>
          <w:p w:rsidR="00B8456F" w:rsidRDefault="00B8456F">
            <w:pPr>
              <w:rPr>
                <w:rFonts w:ascii="Arial" w:hAnsi="Arial"/>
              </w:rPr>
            </w:pPr>
            <w:r>
              <w:rPr>
                <w:rFonts w:ascii="Arial" w:hAnsi="Arial"/>
              </w:rPr>
              <w:t>Aboriginal Organizations in Canada</w:t>
            </w:r>
          </w:p>
          <w:p w:rsidR="00B8456F" w:rsidRDefault="00B8456F">
            <w:pPr>
              <w:rPr>
                <w:rFonts w:ascii="Arial" w:hAnsi="Arial"/>
              </w:rPr>
            </w:pPr>
          </w:p>
        </w:tc>
      </w:tr>
      <w:tr w:rsidR="00B8456F" w:rsidTr="00B8456F">
        <w:tc>
          <w:tcPr>
            <w:tcW w:w="675" w:type="dxa"/>
          </w:tcPr>
          <w:p w:rsidR="00B8456F" w:rsidRDefault="00B8456F">
            <w:pPr>
              <w:rPr>
                <w:rFonts w:ascii="Arial" w:hAnsi="Arial"/>
                <w:b/>
              </w:rPr>
            </w:pPr>
          </w:p>
          <w:p w:rsidR="00B8456F" w:rsidRDefault="00B8456F">
            <w:pPr>
              <w:rPr>
                <w:rFonts w:ascii="Arial" w:hAnsi="Arial"/>
                <w:b/>
              </w:rPr>
            </w:pPr>
            <w:r>
              <w:rPr>
                <w:rFonts w:ascii="Arial" w:hAnsi="Arial"/>
                <w:b/>
              </w:rPr>
              <w:t>IV.</w:t>
            </w:r>
          </w:p>
        </w:tc>
        <w:tc>
          <w:tcPr>
            <w:tcW w:w="567" w:type="dxa"/>
          </w:tcPr>
          <w:p w:rsidR="00B8456F" w:rsidRDefault="00B8456F">
            <w:pPr>
              <w:rPr>
                <w:rFonts w:ascii="Arial" w:hAnsi="Arial"/>
              </w:rPr>
            </w:pPr>
          </w:p>
        </w:tc>
        <w:tc>
          <w:tcPr>
            <w:tcW w:w="7614" w:type="dxa"/>
            <w:gridSpan w:val="2"/>
          </w:tcPr>
          <w:p w:rsidR="00B8456F" w:rsidRDefault="00B8456F">
            <w:pPr>
              <w:pStyle w:val="EnvelopeReturn"/>
            </w:pPr>
          </w:p>
          <w:p w:rsidR="00B8456F" w:rsidRDefault="00B8456F">
            <w:pPr>
              <w:rPr>
                <w:rFonts w:ascii="Arial" w:hAnsi="Arial"/>
                <w:b/>
              </w:rPr>
            </w:pPr>
            <w:r>
              <w:rPr>
                <w:rFonts w:ascii="Arial" w:hAnsi="Arial"/>
                <w:b/>
              </w:rPr>
              <w:t>REQUIRED RESOURCES/TEXTS/MATERIALS:</w:t>
            </w:r>
          </w:p>
          <w:p w:rsidR="00B8456F" w:rsidRDefault="00B8456F">
            <w:pPr>
              <w:rPr>
                <w:rFonts w:ascii="Arial" w:hAnsi="Arial"/>
                <w:b/>
              </w:rPr>
            </w:pPr>
          </w:p>
          <w:p w:rsidR="00B8456F" w:rsidRDefault="00B8456F">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Pr>
                <w:rFonts w:ascii="Arial" w:hAnsi="Arial" w:cs="Arial"/>
                <w:bCs/>
              </w:rPr>
              <w:t>, 9</w:t>
            </w:r>
            <w:r>
              <w:rPr>
                <w:rFonts w:ascii="Arial" w:hAnsi="Arial" w:cs="Arial"/>
                <w:bCs/>
                <w:vertAlign w:val="superscript"/>
              </w:rPr>
              <w:t>th</w:t>
            </w:r>
            <w:r>
              <w:rPr>
                <w:rFonts w:ascii="Arial" w:hAnsi="Arial" w:cs="Arial"/>
                <w:bCs/>
              </w:rPr>
              <w:t xml:space="preserve"> ed., Prentice Hall.</w:t>
            </w:r>
          </w:p>
          <w:p w:rsidR="00B8456F" w:rsidRDefault="00B8456F">
            <w:pPr>
              <w:rPr>
                <w:rFonts w:ascii="Arial" w:hAnsi="Arial" w:cs="Arial"/>
                <w:bCs/>
              </w:rPr>
            </w:pPr>
          </w:p>
          <w:p w:rsidR="00B8456F" w:rsidRDefault="00B8456F">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B8456F" w:rsidRDefault="00B8456F" w:rsidP="00B8456F">
      <w:pPr>
        <w:rPr>
          <w:rFonts w:ascii="Arial" w:hAnsi="Arial"/>
        </w:rPr>
      </w:pPr>
    </w:p>
    <w:tbl>
      <w:tblPr>
        <w:tblW w:w="0" w:type="auto"/>
        <w:tblLayout w:type="fixed"/>
        <w:tblLook w:val="04A0" w:firstRow="1" w:lastRow="0" w:firstColumn="1" w:lastColumn="0" w:noHBand="0" w:noVBand="1"/>
      </w:tblPr>
      <w:tblGrid>
        <w:gridCol w:w="675"/>
        <w:gridCol w:w="8181"/>
      </w:tblGrid>
      <w:tr w:rsidR="00B8456F" w:rsidTr="00B8456F">
        <w:trPr>
          <w:cantSplit/>
          <w:trHeight w:val="4257"/>
        </w:trPr>
        <w:tc>
          <w:tcPr>
            <w:tcW w:w="675" w:type="dxa"/>
            <w:hideMark/>
          </w:tcPr>
          <w:p w:rsidR="00B8456F" w:rsidRDefault="00B8456F">
            <w:pPr>
              <w:rPr>
                <w:rFonts w:ascii="Arial" w:hAnsi="Arial"/>
                <w:b/>
              </w:rPr>
            </w:pPr>
            <w:r>
              <w:rPr>
                <w:rFonts w:ascii="Arial" w:hAnsi="Arial"/>
                <w:b/>
              </w:rPr>
              <w:lastRenderedPageBreak/>
              <w:t>V.</w:t>
            </w:r>
          </w:p>
        </w:tc>
        <w:tc>
          <w:tcPr>
            <w:tcW w:w="8181" w:type="dxa"/>
          </w:tcPr>
          <w:p w:rsidR="00B8456F" w:rsidRDefault="00B8456F">
            <w:pPr>
              <w:rPr>
                <w:rFonts w:ascii="Arial" w:hAnsi="Arial"/>
                <w:b/>
              </w:rPr>
            </w:pPr>
            <w:r>
              <w:rPr>
                <w:rFonts w:ascii="Arial" w:hAnsi="Arial"/>
                <w:b/>
              </w:rPr>
              <w:t>EVALUATION PROCESS/GRADING SYSTEM:</w:t>
            </w:r>
          </w:p>
          <w:p w:rsidR="00B8456F" w:rsidRDefault="00B8456F">
            <w:pPr>
              <w:rPr>
                <w:rFonts w:ascii="Arial" w:hAnsi="Arial"/>
                <w:b/>
              </w:rPr>
            </w:pPr>
          </w:p>
          <w:p w:rsidR="00B8456F" w:rsidRDefault="00B8456F">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B8456F" w:rsidRDefault="00B8456F">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B8456F" w:rsidRDefault="00B8456F">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B8456F" w:rsidRDefault="00B8456F">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B8456F" w:rsidRDefault="00B8456F">
            <w:pPr>
              <w:rPr>
                <w:rFonts w:ascii="Arial" w:hAnsi="Arial"/>
                <w:b/>
                <w:u w:val="single"/>
              </w:rPr>
            </w:pPr>
          </w:p>
          <w:p w:rsidR="00B8456F" w:rsidRDefault="00B8456F">
            <w:pPr>
              <w:pStyle w:val="EnvelopeReturn"/>
            </w:pPr>
            <w:r>
              <w:t>Journal                                          10%                         Week 10</w:t>
            </w:r>
          </w:p>
          <w:p w:rsidR="00B8456F" w:rsidRDefault="00B8456F">
            <w:pPr>
              <w:pStyle w:val="EnvelopeReturn"/>
            </w:pPr>
          </w:p>
          <w:p w:rsidR="00B8456F" w:rsidRDefault="00B8456F">
            <w:pPr>
              <w:pStyle w:val="EnvelopeReturn"/>
            </w:pPr>
            <w:r>
              <w:t>Circles (3X5% each)                     15%                         Weeks 2, 8 &amp; 12</w:t>
            </w:r>
          </w:p>
          <w:p w:rsidR="00B8456F" w:rsidRDefault="00B8456F">
            <w:pPr>
              <w:pStyle w:val="EnvelopeReturn"/>
            </w:pPr>
          </w:p>
          <w:p w:rsidR="00B8456F" w:rsidRDefault="00B8456F">
            <w:pPr>
              <w:pStyle w:val="EnvelopeReturn"/>
            </w:pPr>
            <w:r>
              <w:t>Mid-Term Exam</w:t>
            </w:r>
            <w:r>
              <w:tab/>
            </w:r>
            <w:r>
              <w:tab/>
            </w:r>
            <w:r>
              <w:tab/>
              <w:t xml:space="preserve">25% </w:t>
            </w:r>
            <w:r>
              <w:tab/>
            </w:r>
            <w:r>
              <w:tab/>
            </w:r>
            <w:r>
              <w:tab/>
              <w:t>Week 7</w:t>
            </w:r>
          </w:p>
          <w:p w:rsidR="00B8456F" w:rsidRDefault="00B8456F">
            <w:pPr>
              <w:pStyle w:val="EnvelopeReturn"/>
            </w:pPr>
          </w:p>
          <w:p w:rsidR="00B8456F" w:rsidRDefault="00B8456F">
            <w:pPr>
              <w:pStyle w:val="EnvelopeReturn"/>
            </w:pPr>
            <w:r>
              <w:t>Issue Presentation</w:t>
            </w:r>
            <w:r>
              <w:tab/>
            </w:r>
            <w:r>
              <w:tab/>
            </w:r>
            <w:r>
              <w:tab/>
              <w:t xml:space="preserve">25% </w:t>
            </w:r>
            <w:r>
              <w:tab/>
            </w:r>
            <w:r>
              <w:tab/>
            </w:r>
            <w:r>
              <w:tab/>
              <w:t xml:space="preserve">Week 12 </w:t>
            </w:r>
          </w:p>
          <w:p w:rsidR="00B8456F" w:rsidRDefault="00B8456F">
            <w:pPr>
              <w:pStyle w:val="EnvelopeReturn"/>
            </w:pPr>
          </w:p>
          <w:p w:rsidR="00B8456F" w:rsidRDefault="00B8456F">
            <w:pPr>
              <w:pStyle w:val="EnvelopeReturn"/>
            </w:pPr>
            <w:r>
              <w:t xml:space="preserve">Final Exam </w:t>
            </w:r>
            <w:r>
              <w:tab/>
            </w:r>
            <w:r>
              <w:tab/>
            </w:r>
            <w:r>
              <w:tab/>
            </w:r>
            <w:r>
              <w:tab/>
            </w:r>
            <w:r>
              <w:rPr>
                <w:u w:val="single"/>
              </w:rPr>
              <w:t>25%</w:t>
            </w:r>
            <w:r>
              <w:t xml:space="preserve"> </w:t>
            </w:r>
            <w:r>
              <w:tab/>
            </w:r>
            <w:r>
              <w:tab/>
            </w:r>
            <w:r>
              <w:tab/>
              <w:t>Week 13</w:t>
            </w:r>
          </w:p>
          <w:p w:rsidR="00B8456F" w:rsidRDefault="00B8456F">
            <w:pPr>
              <w:pStyle w:val="EnvelopeReturn"/>
              <w:rPr>
                <w:b/>
              </w:rPr>
            </w:pPr>
          </w:p>
          <w:p w:rsidR="00B8456F" w:rsidRDefault="00B8456F">
            <w:pPr>
              <w:pStyle w:val="EnvelopeReturn"/>
            </w:pPr>
            <w:r>
              <w:rPr>
                <w:b/>
              </w:rPr>
              <w:t>TOTAL</w:t>
            </w:r>
            <w:r>
              <w:rPr>
                <w:b/>
              </w:rPr>
              <w:tab/>
            </w:r>
            <w:r>
              <w:rPr>
                <w:b/>
              </w:rPr>
              <w:tab/>
            </w:r>
            <w:r>
              <w:rPr>
                <w:b/>
              </w:rPr>
              <w:tab/>
            </w:r>
            <w:r>
              <w:rPr>
                <w:b/>
              </w:rPr>
              <w:tab/>
              <w:t>100%</w:t>
            </w:r>
          </w:p>
        </w:tc>
      </w:tr>
    </w:tbl>
    <w:p w:rsidR="00B8456F" w:rsidRDefault="00B8456F" w:rsidP="00B8456F"/>
    <w:tbl>
      <w:tblPr>
        <w:tblW w:w="0" w:type="auto"/>
        <w:tblLayout w:type="fixed"/>
        <w:tblLook w:val="04A0" w:firstRow="1" w:lastRow="0" w:firstColumn="1" w:lastColumn="0" w:noHBand="0" w:noVBand="1"/>
      </w:tblPr>
      <w:tblGrid>
        <w:gridCol w:w="675"/>
        <w:gridCol w:w="8181"/>
      </w:tblGrid>
      <w:tr w:rsidR="00B8456F" w:rsidTr="00B8456F">
        <w:trPr>
          <w:cantSplit/>
          <w:trHeight w:val="2415"/>
        </w:trPr>
        <w:tc>
          <w:tcPr>
            <w:tcW w:w="675" w:type="dxa"/>
          </w:tcPr>
          <w:p w:rsidR="00B8456F" w:rsidRDefault="00B8456F">
            <w:pPr>
              <w:rPr>
                <w:rFonts w:ascii="Arial" w:hAnsi="Arial"/>
                <w:b/>
              </w:rPr>
            </w:pPr>
          </w:p>
        </w:tc>
        <w:tc>
          <w:tcPr>
            <w:tcW w:w="8181" w:type="dxa"/>
          </w:tcPr>
          <w:p w:rsidR="00B8456F" w:rsidRDefault="00B8456F">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B8456F" w:rsidRDefault="00B8456F">
            <w:pPr>
              <w:rPr>
                <w:rFonts w:ascii="Arial" w:hAnsi="Arial"/>
              </w:rPr>
            </w:pPr>
          </w:p>
          <w:p w:rsidR="00B8456F" w:rsidRDefault="00B8456F">
            <w:pPr>
              <w:rPr>
                <w:rFonts w:ascii="Arial" w:hAnsi="Arial"/>
              </w:rPr>
            </w:pPr>
            <w:r>
              <w:rPr>
                <w:rFonts w:ascii="Arial" w:hAnsi="Arial"/>
                <w:b/>
              </w:rPr>
              <w:t>CIRCLES</w:t>
            </w:r>
            <w:r>
              <w:rPr>
                <w:rFonts w:ascii="Arial" w:hAnsi="Arial"/>
              </w:rPr>
              <w:t xml:space="preserve"> are a foundational concept in Canadian Aboriginal cultures.  Students will participate in three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B8456F" w:rsidRDefault="00B8456F">
            <w:pPr>
              <w:pStyle w:val="EnvelopeReturn"/>
            </w:pPr>
          </w:p>
          <w:p w:rsidR="00B8456F" w:rsidRDefault="00B8456F">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Both exams are open note.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p w:rsidR="00B8456F" w:rsidRDefault="00B8456F">
            <w:pPr>
              <w:pStyle w:val="EnvelopeReturn"/>
              <w:rPr>
                <w:b/>
              </w:rPr>
            </w:pPr>
          </w:p>
        </w:tc>
      </w:tr>
      <w:tr w:rsidR="00B8456F" w:rsidTr="00B8456F">
        <w:trPr>
          <w:cantSplit/>
          <w:trHeight w:val="2178"/>
        </w:trPr>
        <w:tc>
          <w:tcPr>
            <w:tcW w:w="675" w:type="dxa"/>
          </w:tcPr>
          <w:p w:rsidR="00B8456F" w:rsidRDefault="00B8456F">
            <w:pPr>
              <w:rPr>
                <w:rFonts w:ascii="Arial" w:hAnsi="Arial"/>
                <w:b/>
              </w:rPr>
            </w:pPr>
          </w:p>
        </w:tc>
        <w:tc>
          <w:tcPr>
            <w:tcW w:w="8181" w:type="dxa"/>
          </w:tcPr>
          <w:p w:rsidR="00B8456F" w:rsidRDefault="00B8456F">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completed Notes should be prepared on the day of class discussion of that chapter.  Completed Reading Notes will create excellent study notes for course exams and reference material for the Issues Presentation.  </w:t>
            </w:r>
          </w:p>
          <w:p w:rsidR="00B8456F" w:rsidRDefault="00B8456F">
            <w:pPr>
              <w:pStyle w:val="EnvelopeReturn"/>
            </w:pPr>
          </w:p>
        </w:tc>
      </w:tr>
      <w:tr w:rsidR="00B8456F" w:rsidTr="00B8456F">
        <w:trPr>
          <w:cantSplit/>
          <w:trHeight w:val="4617"/>
        </w:trPr>
        <w:tc>
          <w:tcPr>
            <w:tcW w:w="675" w:type="dxa"/>
          </w:tcPr>
          <w:p w:rsidR="00B8456F" w:rsidRDefault="00B8456F">
            <w:pPr>
              <w:rPr>
                <w:rFonts w:ascii="Arial" w:hAnsi="Arial"/>
                <w:b/>
              </w:rPr>
            </w:pPr>
          </w:p>
        </w:tc>
        <w:tc>
          <w:tcPr>
            <w:tcW w:w="8181" w:type="dxa"/>
          </w:tcPr>
          <w:p w:rsidR="00B8456F" w:rsidRDefault="00B8456F">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work in groups to accomplish this assignment.  </w:t>
            </w:r>
            <w:r>
              <w:rPr>
                <w:b/>
              </w:rPr>
              <w:t>Each group will be given 20-30 minutes to present their research and what they have gained from it.</w:t>
            </w:r>
            <w:r>
              <w:t xml:space="preserve">  </w:t>
            </w:r>
            <w:r>
              <w:rPr>
                <w:b/>
              </w:rPr>
              <w:t>The presentations will examine the ramifications of this issue</w:t>
            </w:r>
            <w:r>
              <w:t xml:space="preserve"> from the perspective of all of the groups/people affected by the issue.  Information should </w:t>
            </w:r>
            <w:r>
              <w:rPr>
                <w:b/>
              </w:rPr>
              <w:t>include Aboriginal service organizations and/or political organizations involved with the issue</w:t>
            </w:r>
            <w:r>
              <w:t xml:space="preserve">.  </w:t>
            </w:r>
            <w:r>
              <w:rPr>
                <w:b/>
              </w:rPr>
              <w:t>Historical and current information regarding the issue should be included</w:t>
            </w:r>
            <w:r>
              <w:t xml:space="preserve">.  Delivery of the presentation </w:t>
            </w:r>
            <w:r>
              <w:rPr>
                <w:b/>
              </w:rPr>
              <w:t>must include a PowerPoint</w:t>
            </w:r>
            <w:r>
              <w:t xml:space="preserve"> of the material presented.  Each group will provide a </w:t>
            </w:r>
            <w:r>
              <w:rPr>
                <w:b/>
              </w:rPr>
              <w:t>class activity</w:t>
            </w:r>
            <w:r>
              <w:t xml:space="preserve"> that reinforces their material and is interactive with the class participants.  At least 3 different sources must be used for this research.  All sources should be referenced in a </w:t>
            </w:r>
            <w:r>
              <w:rPr>
                <w:b/>
              </w:rPr>
              <w:t>Resource Page</w:t>
            </w:r>
            <w:r>
              <w:t xml:space="preserve">. It will be created in </w:t>
            </w:r>
            <w:proofErr w:type="spellStart"/>
            <w:smartTag w:uri="urn:schemas-microsoft-com:office:smarttags" w:element="stockticker">
              <w:r>
                <w:t>APA</w:t>
              </w:r>
            </w:smartTag>
            <w:proofErr w:type="spellEnd"/>
            <w:r>
              <w:t xml:space="preserve"> style and submitted to the professor on the first day of presentations.  The professor will provide further details.</w:t>
            </w:r>
          </w:p>
          <w:p w:rsidR="00B8456F" w:rsidRDefault="00B8456F">
            <w:pPr>
              <w:pStyle w:val="EnvelopeReturn"/>
              <w:rPr>
                <w:b/>
              </w:rPr>
            </w:pPr>
          </w:p>
          <w:p w:rsidR="00B8456F" w:rsidRDefault="00B8456F">
            <w:pPr>
              <w:pStyle w:val="EnvelopeReturn"/>
              <w:rPr>
                <w:b/>
              </w:rPr>
            </w:pPr>
          </w:p>
        </w:tc>
      </w:tr>
      <w:tr w:rsidR="00B8456F" w:rsidTr="00B8456F">
        <w:trPr>
          <w:cantSplit/>
          <w:trHeight w:val="297"/>
        </w:trPr>
        <w:tc>
          <w:tcPr>
            <w:tcW w:w="675" w:type="dxa"/>
          </w:tcPr>
          <w:p w:rsidR="00B8456F" w:rsidRDefault="00B8456F">
            <w:pPr>
              <w:rPr>
                <w:rFonts w:ascii="Arial" w:hAnsi="Arial"/>
                <w:b/>
              </w:rPr>
            </w:pPr>
          </w:p>
        </w:tc>
        <w:tc>
          <w:tcPr>
            <w:tcW w:w="8181" w:type="dxa"/>
          </w:tcPr>
          <w:p w:rsidR="00B8456F" w:rsidRDefault="00B8456F">
            <w:pPr>
              <w:pStyle w:val="EnvelopeReturn"/>
            </w:pPr>
            <w:r>
              <w:t>Student groups will choose from the following topics for their Presentation:</w:t>
            </w:r>
          </w:p>
          <w:p w:rsidR="00B8456F" w:rsidRDefault="00B8456F" w:rsidP="00B8456F">
            <w:pPr>
              <w:pStyle w:val="EnvelopeReturn"/>
              <w:numPr>
                <w:ilvl w:val="0"/>
                <w:numId w:val="30"/>
              </w:numPr>
              <w:rPr>
                <w:szCs w:val="24"/>
              </w:rPr>
            </w:pPr>
            <w:r>
              <w:rPr>
                <w:szCs w:val="24"/>
              </w:rPr>
              <w:t>Connection of Canadian Aboriginal People, Identity and Land</w:t>
            </w:r>
          </w:p>
          <w:p w:rsidR="00B8456F" w:rsidRDefault="00B8456F" w:rsidP="00B8456F">
            <w:pPr>
              <w:pStyle w:val="EnvelopeReturn"/>
              <w:numPr>
                <w:ilvl w:val="0"/>
                <w:numId w:val="30"/>
              </w:numPr>
              <w:rPr>
                <w:szCs w:val="24"/>
              </w:rPr>
            </w:pPr>
            <w:r>
              <w:rPr>
                <w:szCs w:val="24"/>
              </w:rPr>
              <w:t>Canadian Aboriginal Peoples and the Justice System</w:t>
            </w:r>
          </w:p>
          <w:p w:rsidR="00B8456F" w:rsidRDefault="00B8456F" w:rsidP="00B8456F">
            <w:pPr>
              <w:pStyle w:val="EnvelopeReturn"/>
              <w:numPr>
                <w:ilvl w:val="0"/>
                <w:numId w:val="30"/>
              </w:numPr>
              <w:rPr>
                <w:szCs w:val="24"/>
              </w:rPr>
            </w:pPr>
            <w:r>
              <w:rPr>
                <w:szCs w:val="24"/>
              </w:rPr>
              <w:t>Canadian Aboriginal Peoples and Health Care on Reserves</w:t>
            </w:r>
          </w:p>
          <w:p w:rsidR="00B8456F" w:rsidRDefault="00B8456F" w:rsidP="00B8456F">
            <w:pPr>
              <w:pStyle w:val="EnvelopeReturn"/>
              <w:numPr>
                <w:ilvl w:val="0"/>
                <w:numId w:val="30"/>
              </w:numPr>
              <w:rPr>
                <w:szCs w:val="24"/>
              </w:rPr>
            </w:pPr>
            <w:r>
              <w:rPr>
                <w:szCs w:val="24"/>
              </w:rPr>
              <w:t xml:space="preserve">Canadian Aboriginal Peoples and Urban Health </w:t>
            </w:r>
          </w:p>
          <w:p w:rsidR="00B8456F" w:rsidRDefault="00B8456F" w:rsidP="00B8456F">
            <w:pPr>
              <w:pStyle w:val="EnvelopeReturn"/>
              <w:numPr>
                <w:ilvl w:val="0"/>
                <w:numId w:val="30"/>
              </w:numPr>
              <w:rPr>
                <w:szCs w:val="24"/>
              </w:rPr>
            </w:pPr>
            <w:r>
              <w:rPr>
                <w:szCs w:val="24"/>
              </w:rPr>
              <w:t>Canadian Aboriginal Peoples and Child Welfare</w:t>
            </w:r>
          </w:p>
          <w:p w:rsidR="00B8456F" w:rsidRDefault="00B8456F" w:rsidP="00B8456F">
            <w:pPr>
              <w:pStyle w:val="EnvelopeReturn"/>
              <w:numPr>
                <w:ilvl w:val="0"/>
                <w:numId w:val="30"/>
              </w:numPr>
              <w:rPr>
                <w:szCs w:val="24"/>
              </w:rPr>
            </w:pPr>
            <w:r>
              <w:rPr>
                <w:szCs w:val="24"/>
              </w:rPr>
              <w:t>Canadian Aboriginal Peoples and the Educational System (excluding Residential Schools)</w:t>
            </w:r>
          </w:p>
          <w:p w:rsidR="00B8456F" w:rsidRDefault="00B8456F" w:rsidP="00B8456F">
            <w:pPr>
              <w:pStyle w:val="EnvelopeReturn"/>
              <w:numPr>
                <w:ilvl w:val="0"/>
                <w:numId w:val="30"/>
              </w:numPr>
              <w:rPr>
                <w:szCs w:val="24"/>
              </w:rPr>
            </w:pPr>
            <w:r>
              <w:rPr>
                <w:szCs w:val="24"/>
              </w:rPr>
              <w:t>Residential Schools</w:t>
            </w:r>
          </w:p>
          <w:p w:rsidR="00B8456F" w:rsidRDefault="00B8456F" w:rsidP="00B8456F">
            <w:pPr>
              <w:pStyle w:val="EnvelopeReturn"/>
              <w:numPr>
                <w:ilvl w:val="0"/>
                <w:numId w:val="30"/>
              </w:numPr>
              <w:rPr>
                <w:szCs w:val="24"/>
              </w:rPr>
            </w:pPr>
            <w:r>
              <w:rPr>
                <w:szCs w:val="24"/>
              </w:rPr>
              <w:t>Canadian Inuit of the North</w:t>
            </w:r>
          </w:p>
          <w:p w:rsidR="00B8456F" w:rsidRDefault="00B8456F" w:rsidP="00B8456F">
            <w:pPr>
              <w:pStyle w:val="EnvelopeReturn"/>
              <w:numPr>
                <w:ilvl w:val="0"/>
                <w:numId w:val="30"/>
              </w:numPr>
              <w:rPr>
                <w:szCs w:val="24"/>
              </w:rPr>
            </w:pPr>
            <w:r>
              <w:rPr>
                <w:szCs w:val="24"/>
              </w:rPr>
              <w:t>Canadian Métis</w:t>
            </w:r>
          </w:p>
          <w:p w:rsidR="00B8456F" w:rsidRDefault="00B8456F" w:rsidP="00B8456F">
            <w:pPr>
              <w:pStyle w:val="EnvelopeReturn"/>
              <w:numPr>
                <w:ilvl w:val="0"/>
                <w:numId w:val="30"/>
              </w:numPr>
              <w:rPr>
                <w:szCs w:val="24"/>
              </w:rPr>
            </w:pPr>
            <w:r>
              <w:rPr>
                <w:szCs w:val="24"/>
              </w:rPr>
              <w:t>Loss of Language and Culture: Effects of Colonization</w:t>
            </w:r>
          </w:p>
          <w:p w:rsidR="00B8456F" w:rsidRDefault="00B8456F" w:rsidP="00B8456F">
            <w:pPr>
              <w:pStyle w:val="EnvelopeReturn"/>
              <w:numPr>
                <w:ilvl w:val="0"/>
                <w:numId w:val="30"/>
              </w:numPr>
              <w:rPr>
                <w:szCs w:val="24"/>
              </w:rPr>
            </w:pPr>
            <w:r>
              <w:rPr>
                <w:szCs w:val="24"/>
              </w:rPr>
              <w:t>Canadian Aboriginal People and the Media</w:t>
            </w:r>
          </w:p>
          <w:p w:rsidR="00B8456F" w:rsidRDefault="00B8456F">
            <w:pPr>
              <w:pStyle w:val="EnvelopeReturn"/>
              <w:ind w:left="1440"/>
            </w:pPr>
          </w:p>
        </w:tc>
      </w:tr>
    </w:tbl>
    <w:p w:rsidR="00B8456F" w:rsidRDefault="00B8456F" w:rsidP="00B8456F">
      <w:pPr>
        <w:pStyle w:val="EnvelopeReturn"/>
      </w:pPr>
    </w:p>
    <w:tbl>
      <w:tblPr>
        <w:tblW w:w="0" w:type="auto"/>
        <w:tblLayout w:type="fixed"/>
        <w:tblLook w:val="04A0" w:firstRow="1" w:lastRow="0" w:firstColumn="1" w:lastColumn="0" w:noHBand="0" w:noVBand="1"/>
      </w:tblPr>
      <w:tblGrid>
        <w:gridCol w:w="675"/>
        <w:gridCol w:w="1701"/>
        <w:gridCol w:w="4678"/>
        <w:gridCol w:w="1802"/>
      </w:tblGrid>
      <w:tr w:rsidR="00B8456F" w:rsidTr="00B8456F">
        <w:trPr>
          <w:cantSplit/>
          <w:trHeight w:val="705"/>
        </w:trPr>
        <w:tc>
          <w:tcPr>
            <w:tcW w:w="675" w:type="dxa"/>
          </w:tcPr>
          <w:p w:rsidR="00B8456F" w:rsidRDefault="00B8456F">
            <w:pPr>
              <w:pStyle w:val="EnvelopeReturn"/>
              <w:rPr>
                <w:rFonts w:cs="Arial"/>
                <w:b/>
                <w:bCs/>
              </w:rPr>
            </w:pPr>
          </w:p>
        </w:tc>
        <w:tc>
          <w:tcPr>
            <w:tcW w:w="8181" w:type="dxa"/>
            <w:gridSpan w:val="3"/>
            <w:hideMark/>
          </w:tcPr>
          <w:p w:rsidR="00B8456F" w:rsidRDefault="00B8456F">
            <w:pPr>
              <w:rPr>
                <w:rFonts w:ascii="Arial" w:hAnsi="Arial" w:cs="Arial"/>
                <w:bCs/>
              </w:rPr>
            </w:pPr>
            <w:r>
              <w:rPr>
                <w:rFonts w:ascii="Arial" w:hAnsi="Arial" w:cs="Arial"/>
                <w:b/>
                <w:bCs/>
              </w:rPr>
              <w:t>The following semester grades will be assigned to students:</w:t>
            </w:r>
          </w:p>
        </w:tc>
      </w:tr>
      <w:tr w:rsidR="00B8456F" w:rsidTr="00B8456F">
        <w:tc>
          <w:tcPr>
            <w:tcW w:w="675" w:type="dxa"/>
          </w:tcPr>
          <w:p w:rsidR="00B8456F" w:rsidRDefault="00B8456F">
            <w:pPr>
              <w:rPr>
                <w:rFonts w:ascii="Arial" w:hAnsi="Arial" w:cs="Arial"/>
              </w:rPr>
            </w:pPr>
          </w:p>
        </w:tc>
        <w:tc>
          <w:tcPr>
            <w:tcW w:w="1701" w:type="dxa"/>
          </w:tcPr>
          <w:p w:rsidR="00B8456F" w:rsidRDefault="00B8456F">
            <w:pPr>
              <w:jc w:val="center"/>
              <w:rPr>
                <w:rFonts w:ascii="Arial" w:hAnsi="Arial" w:cs="Arial"/>
              </w:rPr>
            </w:pPr>
          </w:p>
          <w:p w:rsidR="00B8456F" w:rsidRDefault="00B8456F">
            <w:pPr>
              <w:pStyle w:val="Heading2"/>
              <w:rPr>
                <w:rFonts w:ascii="Arial" w:hAnsi="Arial" w:cs="Arial"/>
                <w:b w:val="0"/>
                <w:u w:val="single"/>
              </w:rPr>
            </w:pPr>
            <w:r>
              <w:rPr>
                <w:rFonts w:ascii="Arial" w:hAnsi="Arial" w:cs="Arial"/>
                <w:b w:val="0"/>
                <w:u w:val="single"/>
              </w:rPr>
              <w:lastRenderedPageBreak/>
              <w:t>Grade</w:t>
            </w:r>
          </w:p>
        </w:tc>
        <w:tc>
          <w:tcPr>
            <w:tcW w:w="4678" w:type="dxa"/>
          </w:tcPr>
          <w:p w:rsidR="00B8456F" w:rsidRDefault="00B8456F">
            <w:pPr>
              <w:jc w:val="center"/>
              <w:rPr>
                <w:rFonts w:ascii="Arial" w:hAnsi="Arial" w:cs="Arial"/>
              </w:rPr>
            </w:pPr>
          </w:p>
          <w:p w:rsidR="00B8456F" w:rsidRDefault="00B8456F">
            <w:pPr>
              <w:pStyle w:val="Heading1"/>
              <w:rPr>
                <w:rFonts w:ascii="Arial" w:hAnsi="Arial" w:cs="Arial"/>
                <w:b w:val="0"/>
              </w:rPr>
            </w:pPr>
            <w:r>
              <w:rPr>
                <w:rFonts w:ascii="Arial" w:hAnsi="Arial" w:cs="Arial"/>
                <w:b w:val="0"/>
              </w:rPr>
              <w:lastRenderedPageBreak/>
              <w:t>Definition</w:t>
            </w:r>
          </w:p>
        </w:tc>
        <w:tc>
          <w:tcPr>
            <w:tcW w:w="1802" w:type="dxa"/>
            <w:hideMark/>
          </w:tcPr>
          <w:p w:rsidR="00B8456F" w:rsidRDefault="00B8456F">
            <w:pPr>
              <w:jc w:val="center"/>
              <w:rPr>
                <w:rFonts w:ascii="Arial" w:hAnsi="Arial" w:cs="Arial"/>
                <w:bCs/>
              </w:rPr>
            </w:pPr>
            <w:r>
              <w:rPr>
                <w:rFonts w:ascii="Arial" w:hAnsi="Arial" w:cs="Arial"/>
                <w:bCs/>
              </w:rPr>
              <w:lastRenderedPageBreak/>
              <w:t xml:space="preserve">Grade Point </w:t>
            </w:r>
            <w:r>
              <w:rPr>
                <w:rFonts w:ascii="Arial" w:hAnsi="Arial" w:cs="Arial"/>
                <w:bCs/>
                <w:u w:val="single"/>
              </w:rPr>
              <w:lastRenderedPageBreak/>
              <w:t>Equivalent</w:t>
            </w:r>
          </w:p>
        </w:tc>
      </w:tr>
      <w:tr w:rsidR="00B8456F" w:rsidTr="00B8456F">
        <w:trPr>
          <w:cantSplit/>
        </w:trPr>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A+</w:t>
            </w:r>
          </w:p>
        </w:tc>
        <w:tc>
          <w:tcPr>
            <w:tcW w:w="4678" w:type="dxa"/>
            <w:hideMark/>
          </w:tcPr>
          <w:p w:rsidR="00B8456F" w:rsidRDefault="00B8456F">
            <w:pPr>
              <w:jc w:val="center"/>
              <w:rPr>
                <w:rFonts w:ascii="Arial" w:hAnsi="Arial" w:cs="Arial"/>
              </w:rPr>
            </w:pPr>
            <w:r>
              <w:rPr>
                <w:rFonts w:ascii="Arial" w:hAnsi="Arial" w:cs="Arial"/>
              </w:rPr>
              <w:t>90 – 100%</w:t>
            </w:r>
          </w:p>
        </w:tc>
        <w:tc>
          <w:tcPr>
            <w:tcW w:w="1802" w:type="dxa"/>
            <w:vMerge w:val="restart"/>
            <w:vAlign w:val="center"/>
            <w:hideMark/>
          </w:tcPr>
          <w:p w:rsidR="00B8456F" w:rsidRDefault="00B8456F">
            <w:pPr>
              <w:jc w:val="center"/>
              <w:rPr>
                <w:rFonts w:ascii="Arial" w:hAnsi="Arial" w:cs="Arial"/>
              </w:rPr>
            </w:pPr>
            <w:r>
              <w:rPr>
                <w:rFonts w:ascii="Arial" w:hAnsi="Arial" w:cs="Arial"/>
              </w:rPr>
              <w:t>4.00</w:t>
            </w:r>
          </w:p>
        </w:tc>
      </w:tr>
      <w:tr w:rsidR="00B8456F" w:rsidTr="00B8456F">
        <w:trPr>
          <w:cantSplit/>
        </w:trPr>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A</w:t>
            </w:r>
          </w:p>
        </w:tc>
        <w:tc>
          <w:tcPr>
            <w:tcW w:w="4678" w:type="dxa"/>
            <w:hideMark/>
          </w:tcPr>
          <w:p w:rsidR="00B8456F" w:rsidRDefault="00B8456F">
            <w:pPr>
              <w:jc w:val="center"/>
              <w:rPr>
                <w:rFonts w:ascii="Arial" w:hAnsi="Arial" w:cs="Arial"/>
              </w:rPr>
            </w:pPr>
            <w:r>
              <w:rPr>
                <w:rFonts w:ascii="Arial" w:hAnsi="Arial" w:cs="Arial"/>
              </w:rPr>
              <w:t>80 – 89%</w:t>
            </w:r>
          </w:p>
        </w:tc>
        <w:tc>
          <w:tcPr>
            <w:tcW w:w="1802" w:type="dxa"/>
            <w:vMerge/>
            <w:vAlign w:val="center"/>
            <w:hideMark/>
          </w:tcPr>
          <w:p w:rsidR="00B8456F" w:rsidRDefault="00B8456F">
            <w:pP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B</w:t>
            </w:r>
          </w:p>
        </w:tc>
        <w:tc>
          <w:tcPr>
            <w:tcW w:w="4678" w:type="dxa"/>
            <w:hideMark/>
          </w:tcPr>
          <w:p w:rsidR="00B8456F" w:rsidRDefault="00B8456F">
            <w:pPr>
              <w:jc w:val="center"/>
              <w:rPr>
                <w:rFonts w:ascii="Arial" w:hAnsi="Arial" w:cs="Arial"/>
              </w:rPr>
            </w:pPr>
            <w:r>
              <w:rPr>
                <w:rFonts w:ascii="Arial" w:hAnsi="Arial" w:cs="Arial"/>
              </w:rPr>
              <w:t>70 - 79%</w:t>
            </w:r>
          </w:p>
        </w:tc>
        <w:tc>
          <w:tcPr>
            <w:tcW w:w="1802" w:type="dxa"/>
            <w:hideMark/>
          </w:tcPr>
          <w:p w:rsidR="00B8456F" w:rsidRDefault="00B8456F">
            <w:pPr>
              <w:jc w:val="center"/>
              <w:rPr>
                <w:rFonts w:ascii="Arial" w:hAnsi="Arial" w:cs="Arial"/>
              </w:rPr>
            </w:pPr>
            <w:r>
              <w:rPr>
                <w:rFonts w:ascii="Arial" w:hAnsi="Arial" w:cs="Arial"/>
              </w:rPr>
              <w:t>3.00</w:t>
            </w: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C</w:t>
            </w:r>
          </w:p>
        </w:tc>
        <w:tc>
          <w:tcPr>
            <w:tcW w:w="4678" w:type="dxa"/>
            <w:hideMark/>
          </w:tcPr>
          <w:p w:rsidR="00B8456F" w:rsidRDefault="00B8456F">
            <w:pPr>
              <w:jc w:val="center"/>
              <w:rPr>
                <w:rFonts w:ascii="Arial" w:hAnsi="Arial" w:cs="Arial"/>
              </w:rPr>
            </w:pPr>
            <w:r>
              <w:rPr>
                <w:rFonts w:ascii="Arial" w:hAnsi="Arial" w:cs="Arial"/>
              </w:rPr>
              <w:t>60 - 69%</w:t>
            </w:r>
          </w:p>
        </w:tc>
        <w:tc>
          <w:tcPr>
            <w:tcW w:w="1802" w:type="dxa"/>
            <w:hideMark/>
          </w:tcPr>
          <w:p w:rsidR="00B8456F" w:rsidRDefault="00B8456F">
            <w:pPr>
              <w:jc w:val="center"/>
              <w:rPr>
                <w:rFonts w:ascii="Arial" w:hAnsi="Arial" w:cs="Arial"/>
              </w:rPr>
            </w:pPr>
            <w:r>
              <w:rPr>
                <w:rFonts w:ascii="Arial" w:hAnsi="Arial" w:cs="Arial"/>
              </w:rPr>
              <w:t>2.00</w:t>
            </w: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D</w:t>
            </w:r>
          </w:p>
        </w:tc>
        <w:tc>
          <w:tcPr>
            <w:tcW w:w="4678" w:type="dxa"/>
            <w:hideMark/>
          </w:tcPr>
          <w:p w:rsidR="00B8456F" w:rsidRDefault="00B8456F">
            <w:pPr>
              <w:jc w:val="center"/>
              <w:rPr>
                <w:rFonts w:ascii="Arial" w:hAnsi="Arial" w:cs="Arial"/>
              </w:rPr>
            </w:pPr>
            <w:r>
              <w:rPr>
                <w:rFonts w:ascii="Arial" w:hAnsi="Arial" w:cs="Arial"/>
              </w:rPr>
              <w:t>50 – 59%</w:t>
            </w:r>
          </w:p>
        </w:tc>
        <w:tc>
          <w:tcPr>
            <w:tcW w:w="1802" w:type="dxa"/>
            <w:hideMark/>
          </w:tcPr>
          <w:p w:rsidR="00B8456F" w:rsidRDefault="00B8456F">
            <w:pPr>
              <w:jc w:val="center"/>
              <w:rPr>
                <w:rFonts w:ascii="Arial" w:hAnsi="Arial" w:cs="Arial"/>
              </w:rPr>
            </w:pPr>
            <w:r>
              <w:rPr>
                <w:rFonts w:ascii="Arial" w:hAnsi="Arial" w:cs="Arial"/>
              </w:rPr>
              <w:t>1.00</w:t>
            </w: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F (Fail)</w:t>
            </w:r>
          </w:p>
        </w:tc>
        <w:tc>
          <w:tcPr>
            <w:tcW w:w="4678" w:type="dxa"/>
            <w:hideMark/>
          </w:tcPr>
          <w:p w:rsidR="00B8456F" w:rsidRDefault="00B8456F">
            <w:pPr>
              <w:jc w:val="center"/>
              <w:rPr>
                <w:rFonts w:ascii="Arial" w:hAnsi="Arial" w:cs="Arial"/>
              </w:rPr>
            </w:pPr>
            <w:r>
              <w:rPr>
                <w:rFonts w:ascii="Arial" w:hAnsi="Arial" w:cs="Arial"/>
              </w:rPr>
              <w:t>49% and below</w:t>
            </w:r>
          </w:p>
        </w:tc>
        <w:tc>
          <w:tcPr>
            <w:tcW w:w="1802" w:type="dxa"/>
            <w:hideMark/>
          </w:tcPr>
          <w:p w:rsidR="00B8456F" w:rsidRDefault="00B8456F">
            <w:pPr>
              <w:jc w:val="center"/>
              <w:rPr>
                <w:rFonts w:ascii="Arial" w:hAnsi="Arial" w:cs="Arial"/>
              </w:rPr>
            </w:pPr>
            <w:r>
              <w:rPr>
                <w:rFonts w:ascii="Arial" w:hAnsi="Arial" w:cs="Arial"/>
              </w:rPr>
              <w:t>0.00</w:t>
            </w: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CR (Credit)</w:t>
            </w:r>
          </w:p>
        </w:tc>
        <w:tc>
          <w:tcPr>
            <w:tcW w:w="4678" w:type="dxa"/>
            <w:hideMark/>
          </w:tcPr>
          <w:p w:rsidR="00B8456F" w:rsidRDefault="00B8456F">
            <w:pPr>
              <w:rPr>
                <w:rFonts w:ascii="Arial" w:hAnsi="Arial" w:cs="Arial"/>
              </w:rPr>
            </w:pPr>
            <w:r>
              <w:rPr>
                <w:rFonts w:ascii="Arial" w:hAnsi="Arial" w:cs="Arial"/>
              </w:rPr>
              <w:t>Credit for diploma requirements has been awarded.</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S</w:t>
            </w:r>
          </w:p>
        </w:tc>
        <w:tc>
          <w:tcPr>
            <w:tcW w:w="4678" w:type="dxa"/>
            <w:hideMark/>
          </w:tcPr>
          <w:p w:rsidR="00B8456F" w:rsidRDefault="00B8456F">
            <w:pPr>
              <w:rPr>
                <w:rFonts w:ascii="Arial" w:hAnsi="Arial" w:cs="Arial"/>
              </w:rPr>
            </w:pPr>
            <w:r>
              <w:rPr>
                <w:rFonts w:ascii="Arial" w:hAnsi="Arial" w:cs="Arial"/>
              </w:rPr>
              <w:t>Satisfactory achievement in field /clinical placement or non-graded subject area.</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U</w:t>
            </w:r>
          </w:p>
        </w:tc>
        <w:tc>
          <w:tcPr>
            <w:tcW w:w="4678" w:type="dxa"/>
            <w:hideMark/>
          </w:tcPr>
          <w:p w:rsidR="00B8456F" w:rsidRDefault="00B8456F">
            <w:pPr>
              <w:rPr>
                <w:rFonts w:ascii="Arial" w:hAnsi="Arial" w:cs="Arial"/>
              </w:rPr>
            </w:pPr>
            <w:r>
              <w:rPr>
                <w:rFonts w:ascii="Arial" w:hAnsi="Arial" w:cs="Arial"/>
              </w:rPr>
              <w:t>Unsatisfactory achievement in field/clinical placement or non-graded subject area.</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X</w:t>
            </w:r>
          </w:p>
        </w:tc>
        <w:tc>
          <w:tcPr>
            <w:tcW w:w="4678" w:type="dxa"/>
            <w:hideMark/>
          </w:tcPr>
          <w:p w:rsidR="00B8456F" w:rsidRDefault="00B845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NR</w:t>
            </w:r>
          </w:p>
        </w:tc>
        <w:tc>
          <w:tcPr>
            <w:tcW w:w="4678" w:type="dxa"/>
            <w:hideMark/>
          </w:tcPr>
          <w:p w:rsidR="00B8456F" w:rsidRDefault="00B8456F">
            <w:pPr>
              <w:rPr>
                <w:rFonts w:ascii="Arial" w:hAnsi="Arial" w:cs="Arial"/>
              </w:rPr>
            </w:pPr>
            <w:r>
              <w:rPr>
                <w:rFonts w:ascii="Arial" w:hAnsi="Arial" w:cs="Arial"/>
              </w:rPr>
              <w:t xml:space="preserve">Grade not reported to Registrar's office.  </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hideMark/>
          </w:tcPr>
          <w:p w:rsidR="00B8456F" w:rsidRDefault="00B8456F">
            <w:pPr>
              <w:rPr>
                <w:rFonts w:ascii="Arial" w:hAnsi="Arial" w:cs="Arial"/>
              </w:rPr>
            </w:pPr>
            <w:r>
              <w:rPr>
                <w:rFonts w:ascii="Arial" w:hAnsi="Arial" w:cs="Arial"/>
              </w:rPr>
              <w:t>W</w:t>
            </w:r>
          </w:p>
        </w:tc>
        <w:tc>
          <w:tcPr>
            <w:tcW w:w="4678" w:type="dxa"/>
            <w:hideMark/>
          </w:tcPr>
          <w:p w:rsidR="00B8456F" w:rsidRDefault="00B8456F">
            <w:pPr>
              <w:rPr>
                <w:rFonts w:ascii="Arial" w:hAnsi="Arial" w:cs="Arial"/>
              </w:rPr>
            </w:pPr>
            <w:r>
              <w:rPr>
                <w:rFonts w:ascii="Arial" w:hAnsi="Arial" w:cs="Arial"/>
              </w:rPr>
              <w:t>Student has withdrawn from the course without academic penalty.</w:t>
            </w:r>
          </w:p>
        </w:tc>
        <w:tc>
          <w:tcPr>
            <w:tcW w:w="1802" w:type="dxa"/>
          </w:tcPr>
          <w:p w:rsidR="00B8456F" w:rsidRDefault="00B8456F">
            <w:pPr>
              <w:jc w:val="center"/>
              <w:rPr>
                <w:rFonts w:ascii="Arial" w:hAnsi="Arial" w:cs="Arial"/>
              </w:rPr>
            </w:pPr>
          </w:p>
        </w:tc>
      </w:tr>
      <w:tr w:rsidR="00B8456F" w:rsidTr="00B8456F">
        <w:tc>
          <w:tcPr>
            <w:tcW w:w="675" w:type="dxa"/>
          </w:tcPr>
          <w:p w:rsidR="00B8456F" w:rsidRDefault="00B8456F">
            <w:pPr>
              <w:rPr>
                <w:rFonts w:ascii="Arial" w:hAnsi="Arial" w:cs="Arial"/>
              </w:rPr>
            </w:pPr>
          </w:p>
        </w:tc>
        <w:tc>
          <w:tcPr>
            <w:tcW w:w="1701" w:type="dxa"/>
          </w:tcPr>
          <w:p w:rsidR="00B8456F" w:rsidRDefault="00B8456F">
            <w:pPr>
              <w:rPr>
                <w:rFonts w:ascii="Arial" w:hAnsi="Arial" w:cs="Arial"/>
              </w:rPr>
            </w:pPr>
          </w:p>
        </w:tc>
        <w:tc>
          <w:tcPr>
            <w:tcW w:w="4678" w:type="dxa"/>
          </w:tcPr>
          <w:p w:rsidR="00B8456F" w:rsidRDefault="00B8456F">
            <w:pPr>
              <w:rPr>
                <w:rFonts w:ascii="Arial" w:hAnsi="Arial" w:cs="Arial"/>
              </w:rPr>
            </w:pPr>
          </w:p>
        </w:tc>
        <w:tc>
          <w:tcPr>
            <w:tcW w:w="1802" w:type="dxa"/>
          </w:tcPr>
          <w:p w:rsidR="00B8456F" w:rsidRDefault="00B8456F">
            <w:pPr>
              <w:jc w:val="center"/>
              <w:rPr>
                <w:rFonts w:ascii="Arial" w:hAnsi="Arial" w:cs="Arial"/>
              </w:rPr>
            </w:pPr>
          </w:p>
        </w:tc>
      </w:tr>
      <w:tr w:rsidR="00B8456F" w:rsidTr="00B8456F">
        <w:trPr>
          <w:cantSplit/>
        </w:trPr>
        <w:tc>
          <w:tcPr>
            <w:tcW w:w="675" w:type="dxa"/>
          </w:tcPr>
          <w:p w:rsidR="00B8456F" w:rsidRDefault="00B8456F">
            <w:pPr>
              <w:rPr>
                <w:rFonts w:ascii="Arial" w:hAnsi="Arial" w:cs="Arial"/>
              </w:rPr>
            </w:pPr>
          </w:p>
        </w:tc>
        <w:tc>
          <w:tcPr>
            <w:tcW w:w="8181" w:type="dxa"/>
            <w:gridSpan w:val="3"/>
          </w:tcPr>
          <w:p w:rsidR="00B8456F" w:rsidRDefault="00B8456F">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B8456F" w:rsidRDefault="00B8456F">
            <w:pPr>
              <w:rPr>
                <w:rFonts w:ascii="Arial" w:hAnsi="Arial" w:cs="Arial"/>
              </w:rPr>
            </w:pPr>
          </w:p>
          <w:p w:rsidR="00B8456F" w:rsidRDefault="00B8456F">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8456F" w:rsidRDefault="00B8456F" w:rsidP="00B8456F">
      <w:pPr>
        <w:rPr>
          <w:rFonts w:ascii="Arial" w:hAnsi="Arial"/>
        </w:rPr>
      </w:pPr>
    </w:p>
    <w:p w:rsidR="00B8456F" w:rsidRDefault="00B8456F" w:rsidP="00B8456F">
      <w:pPr>
        <w:rPr>
          <w:rFonts w:ascii="Arial" w:hAnsi="Arial"/>
        </w:rPr>
      </w:pPr>
    </w:p>
    <w:tbl>
      <w:tblPr>
        <w:tblW w:w="9375" w:type="dxa"/>
        <w:tblLayout w:type="fixed"/>
        <w:tblLook w:val="04A0" w:firstRow="1" w:lastRow="0" w:firstColumn="1" w:lastColumn="0" w:noHBand="0" w:noVBand="1"/>
      </w:tblPr>
      <w:tblGrid>
        <w:gridCol w:w="675"/>
        <w:gridCol w:w="8700"/>
      </w:tblGrid>
      <w:tr w:rsidR="00B8456F" w:rsidTr="00B8456F">
        <w:trPr>
          <w:cantSplit/>
        </w:trPr>
        <w:tc>
          <w:tcPr>
            <w:tcW w:w="675" w:type="dxa"/>
            <w:hideMark/>
          </w:tcPr>
          <w:p w:rsidR="00B8456F" w:rsidRDefault="00B8456F">
            <w:pPr>
              <w:rPr>
                <w:rFonts w:ascii="Arial" w:hAnsi="Arial"/>
                <w:b/>
              </w:rPr>
            </w:pPr>
            <w:r>
              <w:rPr>
                <w:rFonts w:ascii="Arial" w:hAnsi="Arial"/>
                <w:b/>
              </w:rPr>
              <w:t>VI.</w:t>
            </w:r>
          </w:p>
        </w:tc>
        <w:tc>
          <w:tcPr>
            <w:tcW w:w="8703" w:type="dxa"/>
          </w:tcPr>
          <w:p w:rsidR="00B8456F" w:rsidRDefault="00B8456F">
            <w:pPr>
              <w:rPr>
                <w:rFonts w:ascii="Arial" w:hAnsi="Arial"/>
                <w:b/>
              </w:rPr>
            </w:pPr>
            <w:r>
              <w:rPr>
                <w:rFonts w:ascii="Arial" w:hAnsi="Arial"/>
                <w:b/>
              </w:rPr>
              <w:t>SPECIAL NOTES:</w:t>
            </w:r>
          </w:p>
          <w:p w:rsidR="00B8456F" w:rsidRDefault="00B8456F">
            <w:pPr>
              <w:rPr>
                <w:rFonts w:ascii="Arial" w:hAnsi="Arial"/>
              </w:rPr>
            </w:pPr>
          </w:p>
        </w:tc>
      </w:tr>
      <w:tr w:rsidR="00B8456F" w:rsidTr="00B8456F">
        <w:trPr>
          <w:cantSplit/>
          <w:trHeight w:val="1560"/>
        </w:trPr>
        <w:tc>
          <w:tcPr>
            <w:tcW w:w="675" w:type="dxa"/>
          </w:tcPr>
          <w:p w:rsidR="00B8456F" w:rsidRDefault="00B8456F">
            <w:pPr>
              <w:rPr>
                <w:rFonts w:ascii="Arial" w:hAnsi="Arial"/>
              </w:rPr>
            </w:pPr>
          </w:p>
        </w:tc>
        <w:tc>
          <w:tcPr>
            <w:tcW w:w="8703" w:type="dxa"/>
          </w:tcPr>
          <w:p w:rsidR="00B8456F" w:rsidRDefault="00B8456F">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calendar days late (with instructor’s approval) and will be penalized 1% /day late. No assignments can be submitted for grades after the fifth late day.</w:t>
            </w:r>
          </w:p>
          <w:p w:rsidR="00B8456F" w:rsidRDefault="00B8456F">
            <w:pPr>
              <w:rPr>
                <w:rFonts w:ascii="Arial" w:hAnsi="Arial"/>
                <w:b/>
                <w:bCs/>
                <w:u w:val="single"/>
              </w:rPr>
            </w:pPr>
          </w:p>
        </w:tc>
      </w:tr>
    </w:tbl>
    <w:p w:rsidR="00B8456F" w:rsidRDefault="00B8456F" w:rsidP="00B8456F"/>
    <w:tbl>
      <w:tblPr>
        <w:tblW w:w="9375" w:type="dxa"/>
        <w:tblLayout w:type="fixed"/>
        <w:tblLook w:val="04A0" w:firstRow="1" w:lastRow="0" w:firstColumn="1" w:lastColumn="0" w:noHBand="0" w:noVBand="1"/>
      </w:tblPr>
      <w:tblGrid>
        <w:gridCol w:w="675"/>
        <w:gridCol w:w="8700"/>
      </w:tblGrid>
      <w:tr w:rsidR="00B8456F" w:rsidTr="00B8456F">
        <w:trPr>
          <w:cantSplit/>
          <w:trHeight w:val="2295"/>
        </w:trPr>
        <w:tc>
          <w:tcPr>
            <w:tcW w:w="675" w:type="dxa"/>
          </w:tcPr>
          <w:p w:rsidR="00B8456F" w:rsidRDefault="00B8456F">
            <w:pPr>
              <w:rPr>
                <w:rFonts w:ascii="Arial" w:hAnsi="Arial"/>
              </w:rPr>
            </w:pPr>
          </w:p>
        </w:tc>
        <w:tc>
          <w:tcPr>
            <w:tcW w:w="8703" w:type="dxa"/>
          </w:tcPr>
          <w:p w:rsidR="00B8456F" w:rsidRDefault="00B8456F">
            <w:pPr>
              <w:rPr>
                <w:rFonts w:ascii="Arial" w:hAnsi="Arial" w:cs="Arial"/>
                <w:szCs w:val="24"/>
                <w:u w:val="single"/>
              </w:rPr>
            </w:pPr>
            <w:r>
              <w:rPr>
                <w:rFonts w:ascii="Arial" w:hAnsi="Arial" w:cs="Arial"/>
                <w:szCs w:val="24"/>
                <w:u w:val="single"/>
              </w:rPr>
              <w:t>Attendance:</w:t>
            </w:r>
          </w:p>
          <w:p w:rsidR="00B8456F" w:rsidRDefault="00B8456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456F" w:rsidRDefault="00B8456F">
            <w:pPr>
              <w:rPr>
                <w:rFonts w:ascii="Arial" w:hAnsi="Arial"/>
                <w:b/>
                <w:bCs/>
                <w:u w:val="single"/>
              </w:rPr>
            </w:pPr>
          </w:p>
          <w:p w:rsidR="00B8456F" w:rsidRDefault="00B8456F">
            <w:pPr>
              <w:rPr>
                <w:rFonts w:ascii="Arial" w:hAnsi="Arial"/>
                <w:b/>
                <w:bCs/>
              </w:rPr>
            </w:pPr>
          </w:p>
        </w:tc>
      </w:tr>
      <w:tr w:rsidR="00B8456F" w:rsidTr="00B8456F">
        <w:trPr>
          <w:cantSplit/>
          <w:trHeight w:val="1413"/>
        </w:trPr>
        <w:tc>
          <w:tcPr>
            <w:tcW w:w="675" w:type="dxa"/>
            <w:hideMark/>
          </w:tcPr>
          <w:p w:rsidR="00B8456F" w:rsidRDefault="00B8456F">
            <w:pPr>
              <w:rPr>
                <w:rFonts w:ascii="Arial" w:hAnsi="Arial" w:cs="Arial"/>
                <w:b/>
                <w:szCs w:val="24"/>
              </w:rPr>
            </w:pPr>
            <w:smartTag w:uri="urn:schemas-microsoft-com:office:smarttags" w:element="stockticker">
              <w:r>
                <w:rPr>
                  <w:rFonts w:ascii="Arial" w:hAnsi="Arial" w:cs="Arial"/>
                  <w:b/>
                  <w:szCs w:val="24"/>
                </w:rPr>
                <w:t>VII</w:t>
              </w:r>
            </w:smartTag>
            <w:r>
              <w:rPr>
                <w:rFonts w:ascii="Arial" w:hAnsi="Arial" w:cs="Arial"/>
                <w:b/>
                <w:szCs w:val="24"/>
              </w:rPr>
              <w:t>.</w:t>
            </w:r>
          </w:p>
        </w:tc>
        <w:tc>
          <w:tcPr>
            <w:tcW w:w="8703" w:type="dxa"/>
          </w:tcPr>
          <w:p w:rsidR="00B8456F" w:rsidRDefault="00B8456F">
            <w:pPr>
              <w:rPr>
                <w:rFonts w:ascii="Arial" w:hAnsi="Arial" w:cs="Arial"/>
                <w:b/>
                <w:szCs w:val="24"/>
              </w:rPr>
            </w:pPr>
            <w:r>
              <w:rPr>
                <w:rFonts w:ascii="Arial" w:hAnsi="Arial" w:cs="Arial"/>
                <w:b/>
                <w:szCs w:val="24"/>
              </w:rPr>
              <w:t>COURSE OUTLINE ADDENDUM:</w:t>
            </w:r>
          </w:p>
          <w:p w:rsidR="00B8456F" w:rsidRDefault="00B8456F">
            <w:pPr>
              <w:rPr>
                <w:rFonts w:ascii="Arial" w:hAnsi="Arial" w:cs="Arial"/>
                <w:b/>
                <w:szCs w:val="24"/>
              </w:rPr>
            </w:pPr>
          </w:p>
          <w:p w:rsidR="00B8456F" w:rsidRDefault="00B8456F">
            <w:pPr>
              <w:rPr>
                <w:rFonts w:ascii="Arial" w:hAnsi="Arial" w:cs="Arial"/>
                <w:szCs w:val="24"/>
              </w:rPr>
            </w:pPr>
            <w:r>
              <w:rPr>
                <w:rFonts w:ascii="Arial" w:hAnsi="Arial" w:cs="Arial"/>
                <w:szCs w:val="24"/>
              </w:rPr>
              <w:t xml:space="preserve">The provisions in the addendum are located on the student portal and form part of this course outline. </w:t>
            </w:r>
          </w:p>
          <w:p w:rsidR="00B8456F" w:rsidRDefault="00B8456F">
            <w:pPr>
              <w:rPr>
                <w:rFonts w:ascii="Arial" w:hAnsi="Arial" w:cs="Arial"/>
                <w:b/>
                <w:bCs/>
                <w:szCs w:val="24"/>
              </w:rPr>
            </w:pPr>
          </w:p>
        </w:tc>
      </w:tr>
    </w:tbl>
    <w:p w:rsidR="00B8456F" w:rsidRDefault="00B8456F" w:rsidP="00B8456F">
      <w:pPr>
        <w:pStyle w:val="EnvelopeReturn"/>
      </w:pPr>
    </w:p>
    <w:p w:rsidR="00B8456F" w:rsidRDefault="00B8456F" w:rsidP="00B8456F">
      <w:pPr>
        <w:pStyle w:val="EnvelopeReturn"/>
      </w:pPr>
    </w:p>
    <w:p w:rsidR="00D1300B" w:rsidRPr="00F1598C" w:rsidRDefault="00D1300B">
      <w:pPr>
        <w:tabs>
          <w:tab w:val="center" w:pos="4560"/>
        </w:tabs>
        <w:rPr>
          <w:rFonts w:ascii="Arial" w:hAnsi="Arial"/>
          <w:lang w:val="en-GB"/>
        </w:rPr>
      </w:pPr>
    </w:p>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lastRenderedPageBreak/>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8C" w:rsidRDefault="0066028C">
      <w:r>
        <w:separator/>
      </w:r>
    </w:p>
  </w:endnote>
  <w:endnote w:type="continuationSeparator" w:id="0">
    <w:p w:rsidR="0066028C" w:rsidRDefault="0066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8C" w:rsidRDefault="0066028C">
      <w:r>
        <w:separator/>
      </w:r>
    </w:p>
  </w:footnote>
  <w:footnote w:type="continuationSeparator" w:id="0">
    <w:p w:rsidR="0066028C" w:rsidRDefault="0066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8456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B8456F" w:rsidRDefault="00B8456F" w:rsidP="00243A34">
          <w:pPr>
            <w:rPr>
              <w:rFonts w:ascii="Arial" w:hAnsi="Arial"/>
            </w:rPr>
          </w:pPr>
          <w:r>
            <w:rPr>
              <w:rFonts w:ascii="Arial" w:hAnsi="Arial"/>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B8456F">
          <w:pPr>
            <w:pStyle w:val="Header"/>
            <w:jc w:val="right"/>
            <w:rPr>
              <w:rFonts w:ascii="Arial" w:hAnsi="Arial"/>
              <w:snapToGrid w:val="0"/>
            </w:rPr>
          </w:pPr>
          <w:r>
            <w:rPr>
              <w:rFonts w:ascii="Arial" w:hAnsi="Arial"/>
            </w:rPr>
            <w:t>SSC</w:t>
          </w:r>
          <w:r>
            <w:rPr>
              <w:rFonts w:ascii="Arial" w:hAnsi="Arial"/>
            </w:rPr>
            <w:t>0</w:t>
          </w:r>
          <w:r>
            <w:rPr>
              <w:rFonts w:ascii="Arial" w:hAnsi="Arial"/>
            </w:rPr>
            <w:t>102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3"/>
  </w:num>
  <w:num w:numId="7">
    <w:abstractNumId w:val="1"/>
  </w:num>
  <w:num w:numId="8">
    <w:abstractNumId w:val="21"/>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6028C"/>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8456F"/>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8456F"/>
    <w:pPr>
      <w:spacing w:after="120"/>
    </w:pPr>
  </w:style>
  <w:style w:type="character" w:customStyle="1" w:styleId="BodyTextChar">
    <w:name w:val="Body Text Char"/>
    <w:basedOn w:val="DefaultParagraphFont"/>
    <w:link w:val="BodyText"/>
    <w:rsid w:val="00B8456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8456F"/>
    <w:pPr>
      <w:spacing w:after="120"/>
    </w:pPr>
  </w:style>
  <w:style w:type="character" w:customStyle="1" w:styleId="BodyTextChar">
    <w:name w:val="Body Text Char"/>
    <w:basedOn w:val="DefaultParagraphFont"/>
    <w:link w:val="BodyText"/>
    <w:rsid w:val="00B8456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93010518">
      <w:bodyDiv w:val="1"/>
      <w:marLeft w:val="0"/>
      <w:marRight w:val="0"/>
      <w:marTop w:val="0"/>
      <w:marBottom w:val="0"/>
      <w:divBdr>
        <w:top w:val="none" w:sz="0" w:space="0" w:color="auto"/>
        <w:left w:val="none" w:sz="0" w:space="0" w:color="auto"/>
        <w:bottom w:val="none" w:sz="0" w:space="0" w:color="auto"/>
        <w:right w:val="none" w:sz="0" w:space="0" w:color="auto"/>
      </w:divBdr>
    </w:div>
    <w:div w:id="103989160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416949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154F5-F2CD-46B0-A559-1620D7C5C14E}"/>
</file>

<file path=customXml/itemProps2.xml><?xml version="1.0" encoding="utf-8"?>
<ds:datastoreItem xmlns:ds="http://schemas.openxmlformats.org/officeDocument/2006/customXml" ds:itemID="{50554094-0FCD-4A66-839A-ECBB3AA9ADFD}"/>
</file>

<file path=customXml/itemProps3.xml><?xml version="1.0" encoding="utf-8"?>
<ds:datastoreItem xmlns:ds="http://schemas.openxmlformats.org/officeDocument/2006/customXml" ds:itemID="{48C10278-AE27-4A86-806F-0FC50626DA8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2012-10-26T18:39:00Z</dcterms:created>
  <dcterms:modified xsi:type="dcterms:W3CDTF">2012-10-26T18:39:00Z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1325000</vt:r8>
  </property>
</Properties>
</file>